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E24" w:rsidRPr="00603E24" w:rsidRDefault="00603E24" w:rsidP="00603E24">
      <w:pPr>
        <w:spacing w:before="100" w:beforeAutospacing="1" w:after="100" w:afterAutospacing="1" w:line="240" w:lineRule="auto"/>
        <w:textAlignment w:val="baseline"/>
        <w:outlineLvl w:val="0"/>
        <w:rPr>
          <w:rFonts w:ascii="Arial" w:eastAsia="Times New Roman" w:hAnsi="Arial" w:cs="Arial"/>
          <w:kern w:val="36"/>
          <w:sz w:val="48"/>
          <w:szCs w:val="48"/>
          <w:lang w:eastAsia="pt-PT"/>
        </w:rPr>
      </w:pPr>
      <w:r w:rsidRPr="00603E24">
        <w:rPr>
          <w:rFonts w:ascii="Arial" w:eastAsia="Times New Roman" w:hAnsi="Arial" w:cs="Arial"/>
          <w:kern w:val="36"/>
          <w:sz w:val="48"/>
          <w:szCs w:val="48"/>
          <w:lang w:eastAsia="pt-PT"/>
        </w:rPr>
        <w:t>OTR… quê? Veja se vale a pena emprestar ao Estado</w:t>
      </w:r>
    </w:p>
    <w:p w:rsidR="00603E24" w:rsidRPr="00603E24" w:rsidRDefault="00603E24" w:rsidP="00603E24">
      <w:pPr>
        <w:spacing w:after="0" w:line="240" w:lineRule="auto"/>
        <w:textAlignment w:val="baseline"/>
        <w:rPr>
          <w:rFonts w:ascii="inherit" w:eastAsia="Times New Roman" w:hAnsi="inherit" w:cs="Times New Roman"/>
          <w:sz w:val="20"/>
          <w:szCs w:val="20"/>
          <w:lang w:eastAsia="pt-PT"/>
        </w:rPr>
      </w:pPr>
      <w:hyperlink r:id="rId5" w:tooltip="Posts by Paulo Moutinho" w:history="1">
        <w:r w:rsidRPr="00603E24">
          <w:rPr>
            <w:rFonts w:ascii="inherit" w:eastAsia="Times New Roman" w:hAnsi="inherit" w:cs="Times New Roman"/>
            <w:color w:val="0000FF"/>
            <w:sz w:val="20"/>
            <w:szCs w:val="20"/>
            <w:u w:val="single"/>
            <w:bdr w:val="none" w:sz="0" w:space="0" w:color="auto" w:frame="1"/>
            <w:lang w:eastAsia="pt-PT"/>
          </w:rPr>
          <w:t>Paulo Moutinho</w:t>
        </w:r>
      </w:hyperlink>
      <w:r w:rsidRPr="00603E24">
        <w:rPr>
          <w:rFonts w:ascii="inherit" w:eastAsia="Times New Roman" w:hAnsi="inherit" w:cs="Times New Roman"/>
          <w:sz w:val="20"/>
          <w:szCs w:val="20"/>
          <w:lang w:eastAsia="pt-PT"/>
        </w:rPr>
        <w:t> e </w:t>
      </w:r>
      <w:hyperlink r:id="rId6" w:tooltip="Posts by Alberto Teixeira" w:history="1">
        <w:r w:rsidRPr="00603E24">
          <w:rPr>
            <w:rFonts w:ascii="inherit" w:eastAsia="Times New Roman" w:hAnsi="inherit" w:cs="Times New Roman"/>
            <w:color w:val="0000FF"/>
            <w:sz w:val="20"/>
            <w:szCs w:val="20"/>
            <w:u w:val="single"/>
            <w:bdr w:val="none" w:sz="0" w:space="0" w:color="auto" w:frame="1"/>
            <w:lang w:eastAsia="pt-PT"/>
          </w:rPr>
          <w:t>Alberto Teixeira</w:t>
        </w:r>
      </w:hyperlink>
    </w:p>
    <w:p w:rsidR="00603E24" w:rsidRPr="00603E24" w:rsidRDefault="00603E24" w:rsidP="00603E24">
      <w:pPr>
        <w:spacing w:after="0" w:line="240" w:lineRule="auto"/>
        <w:textAlignment w:val="baseline"/>
        <w:rPr>
          <w:rFonts w:ascii="inherit" w:eastAsia="Times New Roman" w:hAnsi="inherit" w:cs="Times New Roman"/>
          <w:color w:val="999D99"/>
          <w:sz w:val="20"/>
          <w:szCs w:val="20"/>
          <w:lang w:eastAsia="pt-PT"/>
        </w:rPr>
      </w:pPr>
      <w:r w:rsidRPr="00603E24">
        <w:rPr>
          <w:rFonts w:ascii="inherit" w:eastAsia="Times New Roman" w:hAnsi="inherit" w:cs="Times New Roman"/>
          <w:color w:val="999D99"/>
          <w:sz w:val="20"/>
          <w:szCs w:val="20"/>
          <w:lang w:eastAsia="pt-PT"/>
        </w:rPr>
        <w:t xml:space="preserve">27 </w:t>
      </w:r>
      <w:proofErr w:type="gramStart"/>
      <w:r w:rsidRPr="00603E24">
        <w:rPr>
          <w:rFonts w:ascii="inherit" w:eastAsia="Times New Roman" w:hAnsi="inherit" w:cs="Times New Roman"/>
          <w:color w:val="999D99"/>
          <w:sz w:val="20"/>
          <w:szCs w:val="20"/>
          <w:lang w:eastAsia="pt-PT"/>
        </w:rPr>
        <w:t>Março</w:t>
      </w:r>
      <w:proofErr w:type="gramEnd"/>
      <w:r w:rsidRPr="00603E24">
        <w:rPr>
          <w:rFonts w:ascii="inherit" w:eastAsia="Times New Roman" w:hAnsi="inherit" w:cs="Times New Roman"/>
          <w:color w:val="999D99"/>
          <w:sz w:val="20"/>
          <w:szCs w:val="20"/>
          <w:lang w:eastAsia="pt-PT"/>
        </w:rPr>
        <w:t xml:space="preserve"> 2017</w:t>
      </w:r>
    </w:p>
    <w:p w:rsidR="00603E24" w:rsidRPr="00603E24" w:rsidRDefault="00603E24" w:rsidP="00603E24">
      <w:pPr>
        <w:spacing w:before="100" w:beforeAutospacing="1" w:after="100" w:afterAutospacing="1" w:line="240" w:lineRule="auto"/>
        <w:textAlignment w:val="baseline"/>
        <w:rPr>
          <w:rFonts w:ascii="inherit" w:eastAsia="Times New Roman" w:hAnsi="inherit" w:cs="Times New Roman"/>
          <w:color w:val="00AF00"/>
          <w:sz w:val="24"/>
          <w:szCs w:val="24"/>
          <w:lang w:eastAsia="pt-PT"/>
        </w:rPr>
      </w:pPr>
      <w:r w:rsidRPr="00603E24">
        <w:rPr>
          <w:rFonts w:ascii="inherit" w:eastAsia="Times New Roman" w:hAnsi="inherit" w:cs="Times New Roman"/>
          <w:color w:val="00AF00"/>
          <w:sz w:val="24"/>
          <w:szCs w:val="24"/>
          <w:lang w:eastAsia="pt-PT"/>
        </w:rPr>
        <w:t>O Estado está a apostar cada vez mais nos particulares para se financiar. Depois dos certificados, nasceram as OTRV. Têm sido um sucesso, mas as taxas oferecidas estão a cair. Ainda compensam?</w:t>
      </w:r>
    </w:p>
    <w:p w:rsidR="00603E24" w:rsidRPr="00603E24" w:rsidRDefault="00603E24" w:rsidP="00603E24">
      <w:pPr>
        <w:spacing w:after="0" w:line="240" w:lineRule="auto"/>
        <w:textAlignment w:val="baseline"/>
        <w:rPr>
          <w:rFonts w:ascii="inherit" w:eastAsia="Times New Roman" w:hAnsi="inherit" w:cs="Times New Roman"/>
          <w:color w:val="262F26"/>
          <w:sz w:val="27"/>
          <w:szCs w:val="27"/>
          <w:lang w:eastAsia="pt-PT"/>
        </w:rPr>
      </w:pPr>
      <w:r w:rsidRPr="00603E24">
        <w:rPr>
          <w:rFonts w:ascii="inherit" w:eastAsia="Times New Roman" w:hAnsi="inherit" w:cs="Times New Roman"/>
          <w:color w:val="262F26"/>
          <w:sz w:val="27"/>
          <w:szCs w:val="27"/>
          <w:lang w:eastAsia="pt-PT"/>
        </w:rPr>
        <w:t>Invisto? Não invisto? Invisto…? Indeciso sobre se deve aplicar parte das suas poupanças em mais uma emissão de obrigações portuguesas? É natural. As Obrigações do Tesouro de Rendimento Variável (OTRV) têm atraído muitas poupanças das famílias — mais de três mil milhões de euros — num contexto em que os retornos oferecidos pelos produtos tradicionais estão em mínimos, mas o Estado também está a cortar na remuneração destes títulos. </w:t>
      </w:r>
      <w:r w:rsidRPr="00603E24">
        <w:rPr>
          <w:rFonts w:ascii="inherit" w:eastAsia="Times New Roman" w:hAnsi="inherit" w:cs="Times New Roman"/>
          <w:color w:val="262F26"/>
          <w:sz w:val="27"/>
          <w:szCs w:val="27"/>
          <w:bdr w:val="none" w:sz="0" w:space="0" w:color="auto" w:frame="1"/>
          <w:lang w:eastAsia="pt-PT"/>
        </w:rPr>
        <w:t>A taxa desta emissão é a mais baixa de todas as operações: 1,9%. Será que compensa o risco?</w:t>
      </w:r>
    </w:p>
    <w:p w:rsidR="00603E24" w:rsidRPr="00603E24" w:rsidRDefault="00603E24" w:rsidP="00603E24">
      <w:pPr>
        <w:spacing w:after="0" w:line="240" w:lineRule="auto"/>
        <w:textAlignment w:val="baseline"/>
        <w:rPr>
          <w:rFonts w:ascii="inherit" w:eastAsia="Times New Roman" w:hAnsi="inherit" w:cs="Times New Roman"/>
          <w:color w:val="262F26"/>
          <w:sz w:val="27"/>
          <w:szCs w:val="27"/>
          <w:lang w:eastAsia="pt-PT"/>
        </w:rPr>
      </w:pPr>
      <w:r w:rsidRPr="00603E24">
        <w:rPr>
          <w:rFonts w:ascii="inherit" w:eastAsia="Times New Roman" w:hAnsi="inherit" w:cs="Times New Roman"/>
          <w:color w:val="262F26"/>
          <w:sz w:val="27"/>
          <w:szCs w:val="27"/>
          <w:lang w:eastAsia="pt-PT"/>
        </w:rPr>
        <w:t xml:space="preserve">O Estado lançou as OTRV com uma taxa de 2,2%, mas nas emissões seguintes foi sempre dando menos, ajustando a remuneração aos juros exigidos pelos grandes investidores nos mercados internacionais. Cortou-a para 2,05%, depois para 2%. E agora, na emissão cuja subscrição já arrancou e vai até 7 de abril, baixou mesmo da fasquia dos 2% </w:t>
      </w:r>
      <w:proofErr w:type="spellStart"/>
      <w:r w:rsidRPr="00603E24">
        <w:rPr>
          <w:rFonts w:ascii="inherit" w:eastAsia="Times New Roman" w:hAnsi="inherit" w:cs="Times New Roman"/>
          <w:color w:val="262F26"/>
          <w:sz w:val="27"/>
          <w:szCs w:val="27"/>
          <w:lang w:eastAsia="pt-PT"/>
        </w:rPr>
        <w:t>numa</w:t>
      </w:r>
      <w:hyperlink r:id="rId7" w:tgtFrame="_blank" w:history="1">
        <w:r w:rsidRPr="00603E24">
          <w:rPr>
            <w:rFonts w:ascii="inherit" w:eastAsia="Times New Roman" w:hAnsi="inherit" w:cs="Times New Roman"/>
            <w:color w:val="0000FF"/>
            <w:sz w:val="24"/>
            <w:szCs w:val="24"/>
            <w:u w:val="single"/>
            <w:bdr w:val="none" w:sz="0" w:space="0" w:color="auto" w:frame="1"/>
            <w:lang w:eastAsia="pt-PT"/>
          </w:rPr>
          <w:t>emissão</w:t>
        </w:r>
        <w:proofErr w:type="spellEnd"/>
        <w:r w:rsidRPr="00603E24">
          <w:rPr>
            <w:rFonts w:ascii="inherit" w:eastAsia="Times New Roman" w:hAnsi="inherit" w:cs="Times New Roman"/>
            <w:color w:val="0000FF"/>
            <w:sz w:val="24"/>
            <w:szCs w:val="24"/>
            <w:u w:val="single"/>
            <w:bdr w:val="none" w:sz="0" w:space="0" w:color="auto" w:frame="1"/>
            <w:lang w:eastAsia="pt-PT"/>
          </w:rPr>
          <w:t xml:space="preserve"> em que pretende obter 500 milhões de euros</w:t>
        </w:r>
      </w:hyperlink>
      <w:r w:rsidRPr="00603E24">
        <w:rPr>
          <w:rFonts w:ascii="inherit" w:eastAsia="Times New Roman" w:hAnsi="inherit" w:cs="Times New Roman"/>
          <w:color w:val="262F26"/>
          <w:sz w:val="27"/>
          <w:szCs w:val="27"/>
          <w:lang w:eastAsia="pt-PT"/>
        </w:rPr>
        <w:t>. </w:t>
      </w:r>
      <w:r w:rsidRPr="00603E24">
        <w:rPr>
          <w:rFonts w:ascii="inherit" w:eastAsia="Times New Roman" w:hAnsi="inherit" w:cs="Times New Roman"/>
          <w:color w:val="262F26"/>
          <w:sz w:val="27"/>
          <w:szCs w:val="27"/>
          <w:bdr w:val="none" w:sz="0" w:space="0" w:color="auto" w:frame="1"/>
          <w:lang w:eastAsia="pt-PT"/>
        </w:rPr>
        <w:t>Mas é ou não atrativa? Depende. Em termos líquidos dá 1,368%, mas isto só após impostos (é preciso ter em conta as comissões).</w:t>
      </w:r>
      <w:r w:rsidRPr="00603E24">
        <w:rPr>
          <w:rFonts w:ascii="inherit" w:eastAsia="Times New Roman" w:hAnsi="inherit" w:cs="Times New Roman"/>
          <w:color w:val="262F26"/>
          <w:sz w:val="27"/>
          <w:szCs w:val="27"/>
          <w:lang w:eastAsia="pt-PT"/>
        </w:rPr>
        <w:t> Dá tanto quanto a inflação prevista para este ano, de 1,4%, segundo o Banco de Portugal. Mas o Estado prevê 1,5%.</w:t>
      </w:r>
    </w:p>
    <w:p w:rsidR="00603E24" w:rsidRPr="00603E24" w:rsidRDefault="00603E24" w:rsidP="00603E24">
      <w:pPr>
        <w:spacing w:before="100" w:beforeAutospacing="1" w:after="100" w:afterAutospacing="1" w:line="305" w:lineRule="atLeast"/>
        <w:textAlignment w:val="baseline"/>
        <w:outlineLvl w:val="2"/>
        <w:rPr>
          <w:rFonts w:ascii="Arial" w:eastAsia="Times New Roman" w:hAnsi="Arial" w:cs="Arial"/>
          <w:b/>
          <w:bCs/>
          <w:color w:val="00AF00"/>
          <w:sz w:val="27"/>
          <w:szCs w:val="27"/>
          <w:lang w:eastAsia="pt-PT"/>
        </w:rPr>
      </w:pPr>
      <w:r w:rsidRPr="00603E24">
        <w:rPr>
          <w:rFonts w:ascii="Arial" w:eastAsia="Times New Roman" w:hAnsi="Arial" w:cs="Arial"/>
          <w:b/>
          <w:bCs/>
          <w:color w:val="00AF00"/>
          <w:sz w:val="27"/>
          <w:szCs w:val="27"/>
          <w:lang w:eastAsia="pt-PT"/>
        </w:rPr>
        <w:t>Juros das OTRV sempre a descer</w:t>
      </w:r>
    </w:p>
    <w:p w:rsidR="00603E24" w:rsidRPr="00603E24" w:rsidRDefault="00603E24" w:rsidP="00603E24">
      <w:pPr>
        <w:spacing w:after="395" w:line="240" w:lineRule="auto"/>
        <w:textAlignment w:val="baseline"/>
        <w:rPr>
          <w:rFonts w:ascii="inherit" w:eastAsia="Times New Roman" w:hAnsi="inherit" w:cs="Times New Roman"/>
          <w:color w:val="262F26"/>
          <w:sz w:val="27"/>
          <w:szCs w:val="27"/>
          <w:lang w:eastAsia="pt-PT"/>
        </w:rPr>
      </w:pPr>
      <w:r w:rsidRPr="00603E24">
        <w:rPr>
          <w:rFonts w:ascii="inherit" w:eastAsia="Times New Roman" w:hAnsi="inherit" w:cs="Times New Roman"/>
          <w:noProof/>
          <w:color w:val="262F26"/>
          <w:sz w:val="27"/>
          <w:szCs w:val="27"/>
          <w:lang w:eastAsia="pt-PT"/>
        </w:rPr>
        <w:drawing>
          <wp:inline distT="0" distB="0" distL="0" distR="0">
            <wp:extent cx="5552068" cy="1561758"/>
            <wp:effectExtent l="0" t="0" r="0" b="635"/>
            <wp:docPr id="2" name="Picture 2" descr="https://ecoonline.s3.amazonaws.com/uploads/2017/03/otrv-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oonline.s3.amazonaws.com/uploads/2017/03/otrv-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4935" cy="1568190"/>
                    </a:xfrm>
                    <a:prstGeom prst="rect">
                      <a:avLst/>
                    </a:prstGeom>
                    <a:noFill/>
                    <a:ln>
                      <a:noFill/>
                    </a:ln>
                  </pic:spPr>
                </pic:pic>
              </a:graphicData>
            </a:graphic>
          </wp:inline>
        </w:drawing>
      </w:r>
    </w:p>
    <w:p w:rsidR="00603E24" w:rsidRDefault="00603E24" w:rsidP="00603E24">
      <w:pPr>
        <w:spacing w:after="0" w:line="240" w:lineRule="auto"/>
        <w:textAlignment w:val="baseline"/>
        <w:rPr>
          <w:rFonts w:ascii="inherit" w:eastAsia="Times New Roman" w:hAnsi="inherit" w:cs="Times New Roman"/>
          <w:color w:val="262F26"/>
          <w:sz w:val="27"/>
          <w:szCs w:val="27"/>
          <w:bdr w:val="none" w:sz="0" w:space="0" w:color="auto" w:frame="1"/>
          <w:lang w:eastAsia="pt-PT"/>
        </w:rPr>
      </w:pPr>
      <w:r w:rsidRPr="00603E24">
        <w:rPr>
          <w:rFonts w:ascii="inherit" w:eastAsia="Times New Roman" w:hAnsi="inherit" w:cs="Times New Roman"/>
          <w:color w:val="262F26"/>
          <w:sz w:val="27"/>
          <w:szCs w:val="27"/>
          <w:lang w:eastAsia="pt-PT"/>
        </w:rPr>
        <w:t xml:space="preserve">E “é atrativa, tendo em conta que os juros estão em mínimos e que a conjuntura é de juros ainda mais baixos do que nas anteriores emissões”, diz Filipe Silva. O Banco Central Europeu (BCE) tem tentado travar a subida das taxas dos soberanos com o programa de compra de dívida, sendo que a política expansionista levou os retornos dos produtos tradicionais, </w:t>
      </w:r>
      <w:r w:rsidRPr="00603E24">
        <w:rPr>
          <w:rFonts w:ascii="inherit" w:eastAsia="Times New Roman" w:hAnsi="inherit" w:cs="Times New Roman"/>
          <w:color w:val="262F26"/>
          <w:sz w:val="27"/>
          <w:szCs w:val="27"/>
          <w:lang w:eastAsia="pt-PT"/>
        </w:rPr>
        <w:lastRenderedPageBreak/>
        <w:t>nomeadamente os depósitos a prazo e os certificados de aforro, a pagarem taxas mínimas. </w:t>
      </w:r>
      <w:r w:rsidRPr="00603E24">
        <w:rPr>
          <w:rFonts w:ascii="inherit" w:eastAsia="Times New Roman" w:hAnsi="inherit" w:cs="Times New Roman"/>
          <w:color w:val="262F26"/>
          <w:sz w:val="27"/>
          <w:szCs w:val="27"/>
          <w:bdr w:val="none" w:sz="0" w:space="0" w:color="auto" w:frame="1"/>
          <w:lang w:eastAsia="pt-PT"/>
        </w:rPr>
        <w:t>As aplicações dos bancos rendem, em média, apenas 0,33%. Os certificados dão 0,671%.</w:t>
      </w:r>
    </w:p>
    <w:p w:rsidR="00603E24" w:rsidRPr="00603E24" w:rsidRDefault="00603E24" w:rsidP="00603E24">
      <w:pPr>
        <w:spacing w:after="0" w:line="240" w:lineRule="auto"/>
        <w:textAlignment w:val="baseline"/>
        <w:rPr>
          <w:rFonts w:ascii="inherit" w:eastAsia="Times New Roman" w:hAnsi="inherit" w:cs="Times New Roman"/>
          <w:color w:val="262F26"/>
          <w:sz w:val="27"/>
          <w:szCs w:val="27"/>
          <w:lang w:eastAsia="pt-PT"/>
        </w:rPr>
      </w:pPr>
    </w:p>
    <w:p w:rsidR="00603E24" w:rsidRPr="00603E24" w:rsidRDefault="00603E24" w:rsidP="00603E24">
      <w:pPr>
        <w:spacing w:after="0" w:line="240" w:lineRule="auto"/>
        <w:textAlignment w:val="baseline"/>
        <w:rPr>
          <w:rFonts w:ascii="inherit" w:eastAsia="Times New Roman" w:hAnsi="inherit" w:cs="Times New Roman"/>
          <w:color w:val="00AF00"/>
          <w:sz w:val="28"/>
          <w:szCs w:val="28"/>
          <w:lang w:eastAsia="pt-PT"/>
        </w:rPr>
      </w:pPr>
      <w:r w:rsidRPr="00603E24">
        <w:rPr>
          <w:rFonts w:ascii="inherit" w:eastAsia="Times New Roman" w:hAnsi="inherit" w:cs="Times New Roman"/>
          <w:color w:val="00AF00"/>
          <w:sz w:val="28"/>
          <w:szCs w:val="28"/>
          <w:lang w:eastAsia="pt-PT"/>
        </w:rPr>
        <w:t>"A taxa desta emissão é de 1,9% mais a Euribor (a seis meses), para uma maturidade de cinco anos. Se as taxas subirem e a Euribor chegar aos 0,35% em dois anos – o que não é nada de improvável – estas OTRV passam logo a ser mais vantajosas para o investidor.”</w:t>
      </w:r>
    </w:p>
    <w:p w:rsidR="00603E24" w:rsidRPr="00603E24" w:rsidRDefault="00603E24" w:rsidP="00603E24">
      <w:pPr>
        <w:spacing w:after="0" w:line="240" w:lineRule="auto"/>
        <w:textAlignment w:val="baseline"/>
        <w:rPr>
          <w:rFonts w:ascii="inherit" w:eastAsia="Times New Roman" w:hAnsi="inherit" w:cs="Times New Roman"/>
          <w:color w:val="1A231A"/>
          <w:sz w:val="18"/>
          <w:szCs w:val="18"/>
          <w:lang w:eastAsia="pt-PT"/>
        </w:rPr>
      </w:pPr>
      <w:r w:rsidRPr="00603E24">
        <w:rPr>
          <w:rFonts w:ascii="inherit" w:eastAsia="Times New Roman" w:hAnsi="inherit" w:cs="Times New Roman"/>
          <w:i/>
          <w:iCs/>
          <w:color w:val="1A231A"/>
          <w:sz w:val="21"/>
          <w:szCs w:val="21"/>
          <w:bdr w:val="none" w:sz="0" w:space="0" w:color="auto" w:frame="1"/>
          <w:lang w:eastAsia="pt-PT"/>
        </w:rPr>
        <w:t>Filipe Silva</w:t>
      </w:r>
    </w:p>
    <w:p w:rsidR="00603E24" w:rsidRPr="00603E24" w:rsidRDefault="00603E24" w:rsidP="00603E24">
      <w:pPr>
        <w:spacing w:after="395" w:line="240" w:lineRule="auto"/>
        <w:textAlignment w:val="baseline"/>
        <w:rPr>
          <w:rFonts w:ascii="inherit" w:eastAsia="Times New Roman" w:hAnsi="inherit" w:cs="Times New Roman"/>
          <w:color w:val="999D99"/>
          <w:sz w:val="21"/>
          <w:szCs w:val="21"/>
          <w:lang w:eastAsia="pt-PT"/>
        </w:rPr>
      </w:pPr>
      <w:r w:rsidRPr="00603E24">
        <w:rPr>
          <w:rFonts w:ascii="inherit" w:eastAsia="Times New Roman" w:hAnsi="inherit" w:cs="Times New Roman"/>
          <w:color w:val="999D99"/>
          <w:sz w:val="21"/>
          <w:szCs w:val="21"/>
          <w:lang w:eastAsia="pt-PT"/>
        </w:rPr>
        <w:t>Diretor da gestão de ativos do Banco Carregosa</w:t>
      </w:r>
    </w:p>
    <w:p w:rsidR="00603E24" w:rsidRPr="00603E24" w:rsidRDefault="00603E24" w:rsidP="00603E24">
      <w:pPr>
        <w:spacing w:after="0" w:line="240" w:lineRule="auto"/>
        <w:textAlignment w:val="baseline"/>
        <w:rPr>
          <w:rFonts w:ascii="inherit" w:eastAsia="Times New Roman" w:hAnsi="inherit" w:cs="Times New Roman"/>
          <w:color w:val="262F26"/>
          <w:sz w:val="27"/>
          <w:szCs w:val="27"/>
          <w:lang w:eastAsia="pt-PT"/>
        </w:rPr>
      </w:pPr>
      <w:r w:rsidRPr="00603E24">
        <w:rPr>
          <w:rFonts w:ascii="inherit" w:eastAsia="Times New Roman" w:hAnsi="inherit" w:cs="Times New Roman"/>
          <w:color w:val="262F26"/>
          <w:sz w:val="27"/>
          <w:szCs w:val="27"/>
          <w:lang w:eastAsia="pt-PT"/>
        </w:rPr>
        <w:t>Entre os produtos que mais dinheiro têm atraído das poupanças das famílias, </w:t>
      </w:r>
      <w:r w:rsidRPr="00603E24">
        <w:rPr>
          <w:rFonts w:ascii="inherit" w:eastAsia="Times New Roman" w:hAnsi="inherit" w:cs="Times New Roman"/>
          <w:color w:val="262F26"/>
          <w:sz w:val="27"/>
          <w:szCs w:val="27"/>
          <w:bdr w:val="none" w:sz="0" w:space="0" w:color="auto" w:frame="1"/>
          <w:lang w:eastAsia="pt-PT"/>
        </w:rPr>
        <w:t>apenas os Certificados do Tesouro Poupança Mais (CTPM) conseguem garantir um retorno mais elevado</w:t>
      </w:r>
      <w:r w:rsidRPr="00603E24">
        <w:rPr>
          <w:rFonts w:ascii="inherit" w:eastAsia="Times New Roman" w:hAnsi="inherit" w:cs="Times New Roman"/>
          <w:color w:val="262F26"/>
          <w:sz w:val="27"/>
          <w:szCs w:val="27"/>
          <w:lang w:eastAsia="pt-PT"/>
        </w:rPr>
        <w:t xml:space="preserve">, o que explica os montantes de mensalmente têm sido aplicados. Ainda assim, só tem taxas superiores no terceiro ano. “Os CTPM têm uma taxa crescente e nos dois primeiros anos têm uma taxa mais baixa (1,25% e 1,75%)”, nota o </w:t>
      </w:r>
      <w:r w:rsidRPr="00603E24">
        <w:rPr>
          <w:rFonts w:ascii="inherit" w:eastAsia="Times New Roman" w:hAnsi="inherit" w:cs="Times New Roman"/>
          <w:color w:val="262F26"/>
          <w:sz w:val="27"/>
          <w:szCs w:val="27"/>
          <w:highlight w:val="yellow"/>
          <w:lang w:eastAsia="pt-PT"/>
        </w:rPr>
        <w:t>diretor da gestão de ativos do Banco Carregosa</w:t>
      </w:r>
      <w:r w:rsidRPr="00603E24">
        <w:rPr>
          <w:rFonts w:ascii="inherit" w:eastAsia="Times New Roman" w:hAnsi="inherit" w:cs="Times New Roman"/>
          <w:color w:val="262F26"/>
          <w:sz w:val="27"/>
          <w:szCs w:val="27"/>
          <w:lang w:eastAsia="pt-PT"/>
        </w:rPr>
        <w:t xml:space="preserve"> ao ECO.</w:t>
      </w:r>
    </w:p>
    <w:p w:rsidR="00603E24" w:rsidRPr="00603E24" w:rsidRDefault="00603E24" w:rsidP="00603E24">
      <w:pPr>
        <w:spacing w:before="100" w:beforeAutospacing="1" w:after="100" w:afterAutospacing="1" w:line="240" w:lineRule="auto"/>
        <w:textAlignment w:val="baseline"/>
        <w:outlineLvl w:val="1"/>
        <w:rPr>
          <w:rFonts w:ascii="Arial" w:eastAsia="Times New Roman" w:hAnsi="Arial" w:cs="Arial"/>
          <w:b/>
          <w:bCs/>
          <w:color w:val="00AF00"/>
          <w:sz w:val="36"/>
          <w:szCs w:val="36"/>
          <w:lang w:eastAsia="pt-PT"/>
        </w:rPr>
      </w:pPr>
      <w:r w:rsidRPr="00603E24">
        <w:rPr>
          <w:rFonts w:ascii="Arial" w:eastAsia="Times New Roman" w:hAnsi="Arial" w:cs="Arial"/>
          <w:b/>
          <w:bCs/>
          <w:color w:val="00AF00"/>
          <w:sz w:val="36"/>
          <w:szCs w:val="36"/>
          <w:lang w:eastAsia="pt-PT"/>
        </w:rPr>
        <w:t>Pode render mais… com a Euribor</w:t>
      </w:r>
    </w:p>
    <w:p w:rsidR="00603E24" w:rsidRPr="00603E24" w:rsidRDefault="00603E24" w:rsidP="00603E24">
      <w:pPr>
        <w:spacing w:after="0" w:line="240" w:lineRule="auto"/>
        <w:textAlignment w:val="baseline"/>
        <w:rPr>
          <w:rFonts w:ascii="inherit" w:eastAsia="Times New Roman" w:hAnsi="inherit" w:cs="Times New Roman"/>
          <w:color w:val="262F26"/>
          <w:sz w:val="27"/>
          <w:szCs w:val="27"/>
          <w:lang w:eastAsia="pt-PT"/>
        </w:rPr>
      </w:pPr>
      <w:r w:rsidRPr="00603E24">
        <w:rPr>
          <w:rFonts w:ascii="inherit" w:eastAsia="Times New Roman" w:hAnsi="inherit" w:cs="Times New Roman"/>
          <w:color w:val="262F26"/>
          <w:sz w:val="27"/>
          <w:szCs w:val="27"/>
          <w:lang w:eastAsia="pt-PT"/>
        </w:rPr>
        <w:t>As OTRV garantem um juro bruto anual de 1,9% ao ano, durante os cinco anos da aplicação. No entanto, a taxa pode não ser apenas de 1,9%. “</w:t>
      </w:r>
      <w:r w:rsidRPr="00603E24">
        <w:rPr>
          <w:rFonts w:ascii="inherit" w:eastAsia="Times New Roman" w:hAnsi="inherit" w:cs="Times New Roman"/>
          <w:color w:val="262F26"/>
          <w:sz w:val="27"/>
          <w:szCs w:val="27"/>
          <w:bdr w:val="none" w:sz="0" w:space="0" w:color="auto" w:frame="1"/>
          <w:lang w:eastAsia="pt-PT"/>
        </w:rPr>
        <w:t>A taxa desta emissão é de 1,9% mais a Euribor (a seis meses), para uma maturidade de cinco anos. Se as taxas subirem e a Euribor chegar aos 0,35% em dois anos – o que não é nada de improvável – estas OTRV passam logo a ser mais vantajosas</w:t>
      </w:r>
      <w:r w:rsidRPr="00603E24">
        <w:rPr>
          <w:rFonts w:ascii="inherit" w:eastAsia="Times New Roman" w:hAnsi="inherit" w:cs="Times New Roman"/>
          <w:color w:val="262F26"/>
          <w:sz w:val="27"/>
          <w:szCs w:val="27"/>
          <w:lang w:eastAsia="pt-PT"/>
        </w:rPr>
        <w:t> para o investidor” face aos CTPM, salienta o mesmo especialista.</w:t>
      </w:r>
    </w:p>
    <w:p w:rsidR="00603E24" w:rsidRPr="00603E24" w:rsidRDefault="00603E24" w:rsidP="00603E24">
      <w:pPr>
        <w:spacing w:before="100" w:beforeAutospacing="1" w:after="100" w:afterAutospacing="1" w:line="305" w:lineRule="atLeast"/>
        <w:textAlignment w:val="baseline"/>
        <w:outlineLvl w:val="2"/>
        <w:rPr>
          <w:rFonts w:ascii="Arial" w:eastAsia="Times New Roman" w:hAnsi="Arial" w:cs="Arial"/>
          <w:b/>
          <w:bCs/>
          <w:color w:val="00AF00"/>
          <w:sz w:val="27"/>
          <w:szCs w:val="27"/>
          <w:lang w:eastAsia="pt-PT"/>
        </w:rPr>
      </w:pPr>
      <w:r w:rsidRPr="00603E24">
        <w:rPr>
          <w:rFonts w:ascii="Arial" w:eastAsia="Times New Roman" w:hAnsi="Arial" w:cs="Arial"/>
          <w:b/>
          <w:bCs/>
          <w:color w:val="00AF00"/>
          <w:sz w:val="27"/>
          <w:szCs w:val="27"/>
          <w:lang w:eastAsia="pt-PT"/>
        </w:rPr>
        <w:t>Retorno aquém dos CTPM (com a Euribor negativa)</w:t>
      </w:r>
    </w:p>
    <w:p w:rsidR="00603E24" w:rsidRPr="00603E24" w:rsidRDefault="00603E24" w:rsidP="00603E24">
      <w:pPr>
        <w:spacing w:after="395" w:line="240" w:lineRule="auto"/>
        <w:textAlignment w:val="baseline"/>
        <w:rPr>
          <w:rFonts w:ascii="inherit" w:eastAsia="Times New Roman" w:hAnsi="inherit" w:cs="Times New Roman"/>
          <w:color w:val="262F26"/>
          <w:sz w:val="27"/>
          <w:szCs w:val="27"/>
          <w:lang w:eastAsia="pt-PT"/>
        </w:rPr>
      </w:pPr>
      <w:r w:rsidRPr="00603E24">
        <w:rPr>
          <w:rFonts w:ascii="inherit" w:eastAsia="Times New Roman" w:hAnsi="inherit" w:cs="Times New Roman"/>
          <w:noProof/>
          <w:color w:val="262F26"/>
          <w:sz w:val="27"/>
          <w:szCs w:val="27"/>
          <w:lang w:eastAsia="pt-PT"/>
        </w:rPr>
        <w:drawing>
          <wp:inline distT="0" distB="0" distL="0" distR="0">
            <wp:extent cx="5161519" cy="1728789"/>
            <wp:effectExtent l="0" t="0" r="1270" b="5080"/>
            <wp:docPr id="1" name="Picture 1" descr="https://ecoonline.s3.amazonaws.com/uploads/2017/03/otr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oonline.s3.amazonaws.com/uploads/2017/03/otrv-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9482" cy="1738155"/>
                    </a:xfrm>
                    <a:prstGeom prst="rect">
                      <a:avLst/>
                    </a:prstGeom>
                    <a:noFill/>
                    <a:ln>
                      <a:noFill/>
                    </a:ln>
                  </pic:spPr>
                </pic:pic>
              </a:graphicData>
            </a:graphic>
          </wp:inline>
        </w:drawing>
      </w:r>
    </w:p>
    <w:p w:rsidR="00603E24" w:rsidRPr="00603E24" w:rsidRDefault="00603E24" w:rsidP="00603E24">
      <w:pPr>
        <w:spacing w:after="0" w:line="240" w:lineRule="auto"/>
        <w:textAlignment w:val="baseline"/>
        <w:rPr>
          <w:rFonts w:ascii="Times New Roman" w:eastAsia="Times New Roman" w:hAnsi="Times New Roman" w:cs="Times New Roman"/>
          <w:color w:val="0000FF"/>
          <w:sz w:val="24"/>
          <w:szCs w:val="24"/>
          <w:bdr w:val="none" w:sz="0" w:space="0" w:color="auto" w:frame="1"/>
          <w:lang w:eastAsia="pt-PT"/>
        </w:rPr>
      </w:pPr>
      <w:r w:rsidRPr="00603E24">
        <w:rPr>
          <w:rFonts w:ascii="inherit" w:eastAsia="Times New Roman" w:hAnsi="inherit" w:cs="Times New Roman"/>
          <w:color w:val="262F26"/>
          <w:sz w:val="24"/>
          <w:szCs w:val="24"/>
          <w:lang w:eastAsia="pt-PT"/>
        </w:rPr>
        <w:fldChar w:fldCharType="begin"/>
      </w:r>
      <w:r w:rsidRPr="00603E24">
        <w:rPr>
          <w:rFonts w:ascii="inherit" w:eastAsia="Times New Roman" w:hAnsi="inherit" w:cs="Times New Roman"/>
          <w:color w:val="262F26"/>
          <w:sz w:val="24"/>
          <w:szCs w:val="24"/>
          <w:lang w:eastAsia="pt-PT"/>
        </w:rPr>
        <w:instrText xml:space="preserve"> HYPERLINK "https://eco.pt/2017/03/16/inflacao-na-zona-euro-confirmada-nos-20-em-fevereiro/" </w:instrText>
      </w:r>
      <w:r w:rsidRPr="00603E24">
        <w:rPr>
          <w:rFonts w:ascii="inherit" w:eastAsia="Times New Roman" w:hAnsi="inherit" w:cs="Times New Roman"/>
          <w:color w:val="262F26"/>
          <w:sz w:val="24"/>
          <w:szCs w:val="24"/>
          <w:lang w:eastAsia="pt-PT"/>
        </w:rPr>
        <w:fldChar w:fldCharType="separate"/>
      </w:r>
    </w:p>
    <w:p w:rsidR="00603E24" w:rsidRPr="00603E24" w:rsidRDefault="00603E24" w:rsidP="00603E24">
      <w:pPr>
        <w:spacing w:after="0" w:line="240" w:lineRule="auto"/>
        <w:textAlignment w:val="baseline"/>
        <w:rPr>
          <w:rFonts w:ascii="Times New Roman" w:eastAsia="Times New Roman" w:hAnsi="Times New Roman" w:cs="Times New Roman"/>
          <w:color w:val="000A00"/>
          <w:sz w:val="24"/>
          <w:szCs w:val="24"/>
          <w:lang w:eastAsia="pt-PT"/>
        </w:rPr>
      </w:pPr>
      <w:r w:rsidRPr="00603E24">
        <w:rPr>
          <w:rFonts w:ascii="inherit" w:eastAsia="Times New Roman" w:hAnsi="inherit" w:cs="Times New Roman"/>
          <w:color w:val="000A00"/>
          <w:sz w:val="24"/>
          <w:szCs w:val="24"/>
          <w:bdr w:val="none" w:sz="0" w:space="0" w:color="auto" w:frame="1"/>
          <w:lang w:eastAsia="pt-PT"/>
        </w:rPr>
        <w:t>Zona Euro: Inflação confirmada nos 2% em fevereiro</w:t>
      </w:r>
    </w:p>
    <w:p w:rsidR="00603E24" w:rsidRPr="00603E24" w:rsidRDefault="00603E24" w:rsidP="00603E24">
      <w:pPr>
        <w:spacing w:before="80" w:after="0" w:line="240" w:lineRule="auto"/>
        <w:textAlignment w:val="baseline"/>
        <w:rPr>
          <w:rFonts w:ascii="inherit" w:eastAsia="Times New Roman" w:hAnsi="inherit" w:cs="Times New Roman"/>
          <w:color w:val="00AF00"/>
          <w:bdr w:val="none" w:sz="0" w:space="0" w:color="auto" w:frame="1"/>
          <w:lang w:eastAsia="pt-PT"/>
        </w:rPr>
      </w:pPr>
      <w:r w:rsidRPr="00603E24">
        <w:rPr>
          <w:rFonts w:ascii="inherit" w:eastAsia="Times New Roman" w:hAnsi="inherit" w:cs="Times New Roman"/>
          <w:color w:val="00AF00"/>
          <w:bdr w:val="none" w:sz="0" w:space="0" w:color="auto" w:frame="1"/>
          <w:lang w:eastAsia="pt-PT"/>
        </w:rPr>
        <w:t> Ler Mais</w:t>
      </w:r>
    </w:p>
    <w:p w:rsidR="00603E24" w:rsidRPr="00603E24" w:rsidRDefault="00603E24" w:rsidP="00603E24">
      <w:pPr>
        <w:spacing w:after="0" w:line="240" w:lineRule="auto"/>
        <w:textAlignment w:val="baseline"/>
        <w:rPr>
          <w:rFonts w:ascii="inherit" w:eastAsia="Times New Roman" w:hAnsi="inherit" w:cs="Times New Roman"/>
          <w:color w:val="262F26"/>
          <w:sz w:val="24"/>
          <w:szCs w:val="24"/>
          <w:lang w:eastAsia="pt-PT"/>
        </w:rPr>
      </w:pPr>
      <w:r w:rsidRPr="00603E24">
        <w:rPr>
          <w:rFonts w:ascii="inherit" w:eastAsia="Times New Roman" w:hAnsi="inherit" w:cs="Times New Roman"/>
          <w:color w:val="262F26"/>
          <w:sz w:val="24"/>
          <w:szCs w:val="24"/>
          <w:lang w:eastAsia="pt-PT"/>
        </w:rPr>
        <w:fldChar w:fldCharType="end"/>
      </w:r>
    </w:p>
    <w:p w:rsidR="00603E24" w:rsidRPr="00603E24" w:rsidRDefault="00603E24" w:rsidP="00603E24">
      <w:pPr>
        <w:spacing w:after="0" w:line="240" w:lineRule="auto"/>
        <w:textAlignment w:val="baseline"/>
        <w:rPr>
          <w:rFonts w:ascii="inherit" w:eastAsia="Times New Roman" w:hAnsi="inherit" w:cs="Times New Roman"/>
          <w:color w:val="262F26"/>
          <w:sz w:val="27"/>
          <w:szCs w:val="27"/>
          <w:lang w:eastAsia="pt-PT"/>
        </w:rPr>
      </w:pPr>
      <w:r w:rsidRPr="00603E24">
        <w:rPr>
          <w:rFonts w:ascii="inherit" w:eastAsia="Times New Roman" w:hAnsi="inherit" w:cs="Times New Roman"/>
          <w:color w:val="262F26"/>
          <w:sz w:val="27"/>
          <w:szCs w:val="27"/>
          <w:lang w:eastAsia="pt-PT"/>
        </w:rPr>
        <w:lastRenderedPageBreak/>
        <w:t xml:space="preserve">Apesar da política expansionista, com a inflação a acelerar na Zona Euro — reflexo, essencialmente, da subida dos preços do petróleo — começam a levantar-se vozes para que o BCE suba os juros. </w:t>
      </w:r>
      <w:proofErr w:type="spellStart"/>
      <w:r w:rsidRPr="00603E24">
        <w:rPr>
          <w:rFonts w:ascii="inherit" w:eastAsia="Times New Roman" w:hAnsi="inherit" w:cs="Times New Roman"/>
          <w:color w:val="262F26"/>
          <w:sz w:val="27"/>
          <w:szCs w:val="27"/>
          <w:lang w:eastAsia="pt-PT"/>
        </w:rPr>
        <w:t>Mario</w:t>
      </w:r>
      <w:proofErr w:type="spellEnd"/>
      <w:r w:rsidRPr="00603E24">
        <w:rPr>
          <w:rFonts w:ascii="inherit" w:eastAsia="Times New Roman" w:hAnsi="inherit" w:cs="Times New Roman"/>
          <w:color w:val="262F26"/>
          <w:sz w:val="27"/>
          <w:szCs w:val="27"/>
          <w:lang w:eastAsia="pt-PT"/>
        </w:rPr>
        <w:t xml:space="preserve"> </w:t>
      </w:r>
      <w:proofErr w:type="spellStart"/>
      <w:r w:rsidRPr="00603E24">
        <w:rPr>
          <w:rFonts w:ascii="inherit" w:eastAsia="Times New Roman" w:hAnsi="inherit" w:cs="Times New Roman"/>
          <w:color w:val="262F26"/>
          <w:sz w:val="27"/>
          <w:szCs w:val="27"/>
          <w:lang w:eastAsia="pt-PT"/>
        </w:rPr>
        <w:t>Draghi</w:t>
      </w:r>
      <w:proofErr w:type="spellEnd"/>
      <w:r w:rsidRPr="00603E24">
        <w:rPr>
          <w:rFonts w:ascii="inherit" w:eastAsia="Times New Roman" w:hAnsi="inherit" w:cs="Times New Roman"/>
          <w:color w:val="262F26"/>
          <w:sz w:val="27"/>
          <w:szCs w:val="27"/>
          <w:lang w:eastAsia="pt-PT"/>
        </w:rPr>
        <w:t xml:space="preserve"> resiste, mas no mercado os juros começam a subir. </w:t>
      </w:r>
      <w:r w:rsidRPr="00603E24">
        <w:rPr>
          <w:rFonts w:ascii="inherit" w:eastAsia="Times New Roman" w:hAnsi="inherit" w:cs="Times New Roman"/>
          <w:color w:val="262F26"/>
          <w:sz w:val="27"/>
          <w:szCs w:val="27"/>
          <w:bdr w:val="none" w:sz="0" w:space="0" w:color="auto" w:frame="1"/>
          <w:lang w:eastAsia="pt-PT"/>
        </w:rPr>
        <w:t>As Euribor ainda estão negativas, mas há sinais de que poderão recuperar em breve.</w:t>
      </w:r>
      <w:r w:rsidRPr="00603E24">
        <w:rPr>
          <w:rFonts w:ascii="inherit" w:eastAsia="Times New Roman" w:hAnsi="inherit" w:cs="Times New Roman"/>
          <w:color w:val="262F26"/>
          <w:sz w:val="27"/>
          <w:szCs w:val="27"/>
          <w:lang w:eastAsia="pt-PT"/>
        </w:rPr>
        <w:t> Se o fizerem, podem gerar maiores retornos nas OTRV. “OS CTPM pagam uma taxa anual bruta média de 2,25%, ao longo dos cinco anos. É esta taxa é que deve servir de referência para quem também pretende manter as OTRV durante cinco anos”, nota.</w:t>
      </w:r>
    </w:p>
    <w:p w:rsidR="00603E24" w:rsidRPr="00603E24" w:rsidRDefault="00603E24" w:rsidP="00603E24">
      <w:pPr>
        <w:spacing w:before="100" w:beforeAutospacing="1" w:after="100" w:afterAutospacing="1" w:line="240" w:lineRule="auto"/>
        <w:textAlignment w:val="baseline"/>
        <w:outlineLvl w:val="1"/>
        <w:rPr>
          <w:rFonts w:ascii="Arial" w:eastAsia="Times New Roman" w:hAnsi="Arial" w:cs="Arial"/>
          <w:b/>
          <w:bCs/>
          <w:color w:val="00AF00"/>
          <w:sz w:val="36"/>
          <w:szCs w:val="36"/>
          <w:lang w:eastAsia="pt-PT"/>
        </w:rPr>
      </w:pPr>
      <w:r w:rsidRPr="00603E24">
        <w:rPr>
          <w:rFonts w:ascii="Arial" w:eastAsia="Times New Roman" w:hAnsi="Arial" w:cs="Arial"/>
          <w:b/>
          <w:bCs/>
          <w:color w:val="00AF00"/>
          <w:sz w:val="36"/>
          <w:szCs w:val="36"/>
          <w:lang w:eastAsia="pt-PT"/>
        </w:rPr>
        <w:t>Comissões são o calcanhar de Aquiles</w:t>
      </w:r>
    </w:p>
    <w:p w:rsidR="00603E24" w:rsidRPr="00603E24" w:rsidRDefault="00603E24" w:rsidP="00603E24">
      <w:pPr>
        <w:spacing w:after="395" w:line="240" w:lineRule="auto"/>
        <w:textAlignment w:val="baseline"/>
        <w:rPr>
          <w:rFonts w:ascii="inherit" w:eastAsia="Times New Roman" w:hAnsi="inherit" w:cs="Times New Roman"/>
          <w:color w:val="262F26"/>
          <w:sz w:val="27"/>
          <w:szCs w:val="27"/>
          <w:lang w:eastAsia="pt-PT"/>
        </w:rPr>
      </w:pPr>
      <w:r w:rsidRPr="00603E24">
        <w:rPr>
          <w:rFonts w:ascii="inherit" w:eastAsia="Times New Roman" w:hAnsi="inherit" w:cs="Times New Roman"/>
          <w:color w:val="262F26"/>
          <w:sz w:val="27"/>
          <w:szCs w:val="27"/>
          <w:lang w:eastAsia="pt-PT"/>
        </w:rPr>
        <w:t>A remuneração destas obrigações destinadas a investidores de retalho, ou seja, os pequenos investidores</w:t>
      </w:r>
      <w:r>
        <w:rPr>
          <w:rFonts w:ascii="inherit" w:eastAsia="Times New Roman" w:hAnsi="inherit" w:cs="Times New Roman"/>
          <w:color w:val="262F26"/>
          <w:sz w:val="27"/>
          <w:szCs w:val="27"/>
          <w:lang w:eastAsia="pt-PT"/>
        </w:rPr>
        <w:t>,</w:t>
      </w:r>
      <w:r w:rsidRPr="00603E24">
        <w:rPr>
          <w:rFonts w:ascii="inherit" w:eastAsia="Times New Roman" w:hAnsi="inherit" w:cs="Times New Roman"/>
          <w:color w:val="262F26"/>
          <w:sz w:val="27"/>
          <w:szCs w:val="27"/>
          <w:lang w:eastAsia="pt-PT"/>
        </w:rPr>
        <w:t xml:space="preserve"> pode, apesar de menor do que nas anteriores emiss</w:t>
      </w:r>
      <w:bookmarkStart w:id="0" w:name="_GoBack"/>
      <w:bookmarkEnd w:id="0"/>
      <w:r w:rsidRPr="00603E24">
        <w:rPr>
          <w:rFonts w:ascii="inherit" w:eastAsia="Times New Roman" w:hAnsi="inherit" w:cs="Times New Roman"/>
          <w:color w:val="262F26"/>
          <w:sz w:val="27"/>
          <w:szCs w:val="27"/>
          <w:lang w:eastAsia="pt-PT"/>
        </w:rPr>
        <w:t>ões, ser interessante. Mesmo depois de impostos é atrativa, mas quem está a pensar subscrever não se pode esquecer de que, ao contrário dos depósitos ou dos outros produtos do Estado, neste caso há comissões a pagar aos intermediários financeiros, os bancos. “Tenha muita atenção às elevadas comissões praticadas pelos bancos”, diz a Deco.</w:t>
      </w:r>
    </w:p>
    <w:p w:rsidR="00603E24" w:rsidRPr="00603E24" w:rsidRDefault="00603E24" w:rsidP="00603E24">
      <w:pPr>
        <w:shd w:val="clear" w:color="auto" w:fill="00AF00"/>
        <w:spacing w:after="395" w:line="240" w:lineRule="auto"/>
        <w:textAlignment w:val="baseline"/>
        <w:rPr>
          <w:rFonts w:ascii="inherit" w:eastAsia="Times New Roman" w:hAnsi="inherit" w:cs="Times New Roman"/>
          <w:color w:val="FFFFFF"/>
          <w:sz w:val="37"/>
          <w:szCs w:val="37"/>
          <w:lang w:eastAsia="pt-PT"/>
        </w:rPr>
      </w:pPr>
      <w:r w:rsidRPr="00603E24">
        <w:rPr>
          <w:rFonts w:ascii="inherit" w:eastAsia="Times New Roman" w:hAnsi="inherit" w:cs="Times New Roman"/>
          <w:color w:val="FFFFFF"/>
          <w:sz w:val="37"/>
          <w:szCs w:val="37"/>
          <w:lang w:eastAsia="pt-PT"/>
        </w:rPr>
        <w:t>Cada banco tem o seu preçário e as comissões variam consoante a instituição. Certo é que uma aplicação de pequenos montantes será sempre muito penalizada.</w:t>
      </w:r>
    </w:p>
    <w:p w:rsidR="00603E24" w:rsidRPr="00603E24" w:rsidRDefault="00603E24" w:rsidP="00603E24">
      <w:pPr>
        <w:shd w:val="clear" w:color="auto" w:fill="00AF00"/>
        <w:spacing w:after="100" w:line="240" w:lineRule="auto"/>
        <w:textAlignment w:val="baseline"/>
        <w:rPr>
          <w:rFonts w:ascii="inherit" w:eastAsia="Times New Roman" w:hAnsi="inherit" w:cs="Times New Roman"/>
          <w:color w:val="FFFFFF"/>
          <w:sz w:val="21"/>
          <w:szCs w:val="21"/>
          <w:lang w:eastAsia="pt-PT"/>
        </w:rPr>
      </w:pPr>
      <w:r w:rsidRPr="00603E24">
        <w:rPr>
          <w:rFonts w:ascii="inherit" w:eastAsia="Times New Roman" w:hAnsi="inherit" w:cs="Times New Roman"/>
          <w:i/>
          <w:iCs/>
          <w:color w:val="FFFFFF"/>
          <w:sz w:val="21"/>
          <w:szCs w:val="21"/>
          <w:bdr w:val="none" w:sz="0" w:space="0" w:color="auto" w:frame="1"/>
          <w:lang w:eastAsia="pt-PT"/>
        </w:rPr>
        <w:t>Deco</w:t>
      </w:r>
    </w:p>
    <w:p w:rsidR="00603E24" w:rsidRPr="00603E24" w:rsidRDefault="00603E24" w:rsidP="00603E24">
      <w:pPr>
        <w:spacing w:after="0" w:line="240" w:lineRule="auto"/>
        <w:textAlignment w:val="baseline"/>
        <w:rPr>
          <w:rFonts w:ascii="inherit" w:eastAsia="Times New Roman" w:hAnsi="inherit" w:cs="Times New Roman"/>
          <w:color w:val="262F26"/>
          <w:sz w:val="27"/>
          <w:szCs w:val="27"/>
          <w:lang w:eastAsia="pt-PT"/>
        </w:rPr>
      </w:pPr>
      <w:r w:rsidRPr="00603E24">
        <w:rPr>
          <w:rFonts w:ascii="inherit" w:eastAsia="Times New Roman" w:hAnsi="inherit" w:cs="Times New Roman"/>
          <w:color w:val="262F26"/>
          <w:sz w:val="27"/>
          <w:szCs w:val="27"/>
          <w:lang w:eastAsia="pt-PT"/>
        </w:rPr>
        <w:t>Tanto nas obrigações do Tesouro, que estão no mercado, como nas OTRV, “são cobradas comissões de subscrição, custódia, pagamento de juros e reembolso de capital, que podem diminuir bastante o rendimento”. “Cada banco tem o seu preçário e as comissões variam consoante a instituição”, mas “certo é que </w:t>
      </w:r>
      <w:r w:rsidRPr="00603E24">
        <w:rPr>
          <w:rFonts w:ascii="inherit" w:eastAsia="Times New Roman" w:hAnsi="inherit" w:cs="Times New Roman"/>
          <w:color w:val="262F26"/>
          <w:sz w:val="27"/>
          <w:szCs w:val="27"/>
          <w:bdr w:val="none" w:sz="0" w:space="0" w:color="auto" w:frame="1"/>
          <w:lang w:eastAsia="pt-PT"/>
        </w:rPr>
        <w:t>uma aplicação de pequenos montantes será sempre muito penalizada” — o mínimo de investimento é de mil euros e o máximo de um milhão.</w:t>
      </w:r>
      <w:r w:rsidRPr="00603E24">
        <w:rPr>
          <w:rFonts w:ascii="inherit" w:eastAsia="Times New Roman" w:hAnsi="inherit" w:cs="Times New Roman"/>
          <w:color w:val="262F26"/>
          <w:sz w:val="27"/>
          <w:szCs w:val="27"/>
          <w:lang w:eastAsia="pt-PT"/>
        </w:rPr>
        <w:t> Pode mesmo perder dinheiro com as comissões a não serem compensadas pelos juros auferidos, daí que “as OTRV são atrativas apenas para montantes a partir de cinco mil euros”, salienta a Deco.</w:t>
      </w:r>
    </w:p>
    <w:p w:rsidR="00603E24" w:rsidRPr="00603E24" w:rsidRDefault="00603E24" w:rsidP="00603E24">
      <w:pPr>
        <w:spacing w:before="100" w:beforeAutospacing="1" w:after="100" w:afterAutospacing="1" w:line="240" w:lineRule="auto"/>
        <w:textAlignment w:val="baseline"/>
        <w:outlineLvl w:val="1"/>
        <w:rPr>
          <w:rFonts w:ascii="Arial" w:eastAsia="Times New Roman" w:hAnsi="Arial" w:cs="Arial"/>
          <w:b/>
          <w:bCs/>
          <w:color w:val="00AF00"/>
          <w:sz w:val="36"/>
          <w:szCs w:val="36"/>
          <w:lang w:eastAsia="pt-PT"/>
        </w:rPr>
      </w:pPr>
      <w:r w:rsidRPr="00603E24">
        <w:rPr>
          <w:rFonts w:ascii="Arial" w:eastAsia="Times New Roman" w:hAnsi="Arial" w:cs="Arial"/>
          <w:b/>
          <w:bCs/>
          <w:color w:val="00AF00"/>
          <w:sz w:val="36"/>
          <w:szCs w:val="36"/>
          <w:lang w:eastAsia="pt-PT"/>
        </w:rPr>
        <w:t>Risco? Há. Mas também há liquidez</w:t>
      </w:r>
    </w:p>
    <w:p w:rsidR="00603E24" w:rsidRPr="00603E24" w:rsidRDefault="00603E24" w:rsidP="00603E24">
      <w:pPr>
        <w:spacing w:after="0" w:line="240" w:lineRule="auto"/>
        <w:textAlignment w:val="baseline"/>
        <w:rPr>
          <w:rFonts w:ascii="inherit" w:eastAsia="Times New Roman" w:hAnsi="inherit" w:cs="Times New Roman"/>
          <w:color w:val="0000FF"/>
          <w:sz w:val="27"/>
          <w:szCs w:val="27"/>
          <w:bdr w:val="none" w:sz="0" w:space="0" w:color="auto" w:frame="1"/>
          <w:lang w:eastAsia="pt-PT"/>
        </w:rPr>
      </w:pPr>
      <w:r w:rsidRPr="00603E24">
        <w:rPr>
          <w:rFonts w:ascii="inherit" w:eastAsia="Times New Roman" w:hAnsi="inherit" w:cs="Times New Roman"/>
          <w:color w:val="262F26"/>
          <w:sz w:val="24"/>
          <w:szCs w:val="24"/>
          <w:lang w:eastAsia="pt-PT"/>
        </w:rPr>
        <w:fldChar w:fldCharType="begin"/>
      </w:r>
      <w:r w:rsidRPr="00603E24">
        <w:rPr>
          <w:rFonts w:ascii="inherit" w:eastAsia="Times New Roman" w:hAnsi="inherit" w:cs="Times New Roman"/>
          <w:color w:val="262F26"/>
          <w:sz w:val="24"/>
          <w:szCs w:val="24"/>
          <w:lang w:eastAsia="pt-PT"/>
        </w:rPr>
        <w:instrText xml:space="preserve"> HYPERLINK "https://eco.pt/2016/11/14/ja-pode-subscrever-as-novas-otrv-mas-compensa/" </w:instrText>
      </w:r>
      <w:r w:rsidRPr="00603E24">
        <w:rPr>
          <w:rFonts w:ascii="inherit" w:eastAsia="Times New Roman" w:hAnsi="inherit" w:cs="Times New Roman"/>
          <w:color w:val="262F26"/>
          <w:sz w:val="24"/>
          <w:szCs w:val="24"/>
          <w:lang w:eastAsia="pt-PT"/>
        </w:rPr>
        <w:fldChar w:fldCharType="separate"/>
      </w:r>
    </w:p>
    <w:p w:rsidR="00603E24" w:rsidRPr="00603E24" w:rsidRDefault="00603E24" w:rsidP="00603E24">
      <w:pPr>
        <w:spacing w:after="0" w:line="240" w:lineRule="auto"/>
        <w:textAlignment w:val="baseline"/>
        <w:rPr>
          <w:rFonts w:ascii="inherit" w:eastAsia="Times New Roman" w:hAnsi="inherit" w:cs="Times New Roman"/>
          <w:color w:val="262F26"/>
          <w:sz w:val="27"/>
          <w:szCs w:val="27"/>
          <w:lang w:eastAsia="pt-PT"/>
        </w:rPr>
      </w:pPr>
      <w:r w:rsidRPr="00603E24">
        <w:rPr>
          <w:rFonts w:ascii="inherit" w:eastAsia="Times New Roman" w:hAnsi="inherit" w:cs="Times New Roman"/>
          <w:color w:val="262F26"/>
          <w:sz w:val="24"/>
          <w:szCs w:val="24"/>
          <w:lang w:eastAsia="pt-PT"/>
        </w:rPr>
        <w:fldChar w:fldCharType="end"/>
      </w:r>
      <w:r w:rsidRPr="00603E24">
        <w:rPr>
          <w:rFonts w:ascii="inherit" w:eastAsia="Times New Roman" w:hAnsi="inherit" w:cs="Times New Roman"/>
          <w:color w:val="262F26"/>
          <w:sz w:val="27"/>
          <w:szCs w:val="27"/>
          <w:lang w:eastAsia="pt-PT"/>
        </w:rPr>
        <w:t xml:space="preserve">Há ameaças aos juros que são pagos pelas OTRV, mas também há riscos implícitos ao investimento nos mercados de capitais. As OTRV não são seguras como os depósitos, que estão protegidos pelo Fundo de Garantia de Depósitos. São títulos de dívida pública, logo o investidor fica exposto ao risco do emitente, o Estado. Em caso de incumprimento, ou reestruturação da </w:t>
      </w:r>
      <w:r w:rsidRPr="00603E24">
        <w:rPr>
          <w:rFonts w:ascii="inherit" w:eastAsia="Times New Roman" w:hAnsi="inherit" w:cs="Times New Roman"/>
          <w:color w:val="262F26"/>
          <w:sz w:val="27"/>
          <w:szCs w:val="27"/>
          <w:lang w:eastAsia="pt-PT"/>
        </w:rPr>
        <w:lastRenderedPageBreak/>
        <w:t>dívida, os detentores destes títulos poderão ser afetados. Os CTPM, por seu lado, têm garantia de capital.</w:t>
      </w:r>
    </w:p>
    <w:p w:rsidR="00603E24" w:rsidRPr="00603E24" w:rsidRDefault="00603E24" w:rsidP="00603E24">
      <w:pPr>
        <w:spacing w:after="0" w:line="240" w:lineRule="auto"/>
        <w:textAlignment w:val="baseline"/>
        <w:rPr>
          <w:rFonts w:ascii="inherit" w:eastAsia="Times New Roman" w:hAnsi="inherit" w:cs="Times New Roman"/>
          <w:color w:val="262F26"/>
          <w:sz w:val="27"/>
          <w:szCs w:val="27"/>
          <w:lang w:eastAsia="pt-PT"/>
        </w:rPr>
      </w:pPr>
      <w:r w:rsidRPr="00603E24">
        <w:rPr>
          <w:rFonts w:ascii="inherit" w:eastAsia="Times New Roman" w:hAnsi="inherit" w:cs="Times New Roman"/>
          <w:color w:val="262F26"/>
          <w:sz w:val="27"/>
          <w:szCs w:val="27"/>
          <w:lang w:eastAsia="pt-PT"/>
        </w:rPr>
        <w:t>Depois, há a liquidez… Os CTPM não podem ser vendidos durante um ano, mas as OTRV podem. Se os CTPM são reembolsados, depois, a qualquer momento, </w:t>
      </w:r>
      <w:r w:rsidRPr="00603E24">
        <w:rPr>
          <w:rFonts w:ascii="inherit" w:eastAsia="Times New Roman" w:hAnsi="inherit" w:cs="Times New Roman"/>
          <w:color w:val="262F26"/>
          <w:sz w:val="27"/>
          <w:szCs w:val="27"/>
          <w:bdr w:val="none" w:sz="0" w:space="0" w:color="auto" w:frame="1"/>
          <w:lang w:eastAsia="pt-PT"/>
        </w:rPr>
        <w:t xml:space="preserve">no caso das OTRV, se necessitar do dinheiro antes dos cinco anos, terá de vendê-las no mercado, ficando sujeito a vender os títulos por um valor inferior </w:t>
      </w:r>
      <w:proofErr w:type="gramStart"/>
      <w:r w:rsidRPr="00603E24">
        <w:rPr>
          <w:rFonts w:ascii="inherit" w:eastAsia="Times New Roman" w:hAnsi="inherit" w:cs="Times New Roman"/>
          <w:color w:val="262F26"/>
          <w:sz w:val="27"/>
          <w:szCs w:val="27"/>
          <w:bdr w:val="none" w:sz="0" w:space="0" w:color="auto" w:frame="1"/>
          <w:lang w:eastAsia="pt-PT"/>
        </w:rPr>
        <w:t>ao inicial</w:t>
      </w:r>
      <w:proofErr w:type="gramEnd"/>
      <w:r w:rsidRPr="00603E24">
        <w:rPr>
          <w:rFonts w:ascii="inherit" w:eastAsia="Times New Roman" w:hAnsi="inherit" w:cs="Times New Roman"/>
          <w:color w:val="262F26"/>
          <w:sz w:val="27"/>
          <w:szCs w:val="27"/>
          <w:bdr w:val="none" w:sz="0" w:space="0" w:color="auto" w:frame="1"/>
          <w:lang w:eastAsia="pt-PT"/>
        </w:rPr>
        <w:t>. Mas também pode acontecer o contrário. “Por exemplo, quem comprou OTRV em novembro, se quiser vender agora, o preço subiu e está nos 101,6, um ganho de 1,6% em cinco meses.</w:t>
      </w:r>
      <w:r w:rsidRPr="00603E24">
        <w:rPr>
          <w:rFonts w:ascii="inherit" w:eastAsia="Times New Roman" w:hAnsi="inherit" w:cs="Times New Roman"/>
          <w:color w:val="262F26"/>
          <w:sz w:val="27"/>
          <w:szCs w:val="27"/>
          <w:lang w:eastAsia="pt-PT"/>
        </w:rPr>
        <w:t> Contudo, é verdade que quem compra este tipo de produtos tende a mantê-lo durante toda a maturidade”, diz Filipe Silva.</w:t>
      </w:r>
    </w:p>
    <w:p w:rsidR="006F6915" w:rsidRDefault="006F6915"/>
    <w:sectPr w:rsidR="006F69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A8E"/>
    <w:multiLevelType w:val="multilevel"/>
    <w:tmpl w:val="E2F4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21ACB"/>
    <w:multiLevelType w:val="multilevel"/>
    <w:tmpl w:val="416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049D5"/>
    <w:multiLevelType w:val="multilevel"/>
    <w:tmpl w:val="7A3C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24"/>
    <w:rsid w:val="00603E24"/>
    <w:rsid w:val="006F69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1B00"/>
  <w15:chartTrackingRefBased/>
  <w15:docId w15:val="{AA277C43-6880-4357-BC21-ADD84D15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3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Heading2">
    <w:name w:val="heading 2"/>
    <w:basedOn w:val="Normal"/>
    <w:link w:val="Heading2Char"/>
    <w:uiPriority w:val="9"/>
    <w:qFormat/>
    <w:rsid w:val="00603E24"/>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Heading3">
    <w:name w:val="heading 3"/>
    <w:basedOn w:val="Normal"/>
    <w:link w:val="Heading3Char"/>
    <w:uiPriority w:val="9"/>
    <w:qFormat/>
    <w:rsid w:val="00603E24"/>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E24"/>
    <w:rPr>
      <w:rFonts w:ascii="Times New Roman" w:eastAsia="Times New Roman" w:hAnsi="Times New Roman" w:cs="Times New Roman"/>
      <w:b/>
      <w:bCs/>
      <w:kern w:val="36"/>
      <w:sz w:val="48"/>
      <w:szCs w:val="48"/>
      <w:lang w:eastAsia="pt-PT"/>
    </w:rPr>
  </w:style>
  <w:style w:type="character" w:customStyle="1" w:styleId="Heading2Char">
    <w:name w:val="Heading 2 Char"/>
    <w:basedOn w:val="DefaultParagraphFont"/>
    <w:link w:val="Heading2"/>
    <w:uiPriority w:val="9"/>
    <w:rsid w:val="00603E24"/>
    <w:rPr>
      <w:rFonts w:ascii="Times New Roman" w:eastAsia="Times New Roman" w:hAnsi="Times New Roman" w:cs="Times New Roman"/>
      <w:b/>
      <w:bCs/>
      <w:sz w:val="36"/>
      <w:szCs w:val="36"/>
      <w:lang w:eastAsia="pt-PT"/>
    </w:rPr>
  </w:style>
  <w:style w:type="character" w:customStyle="1" w:styleId="Heading3Char">
    <w:name w:val="Heading 3 Char"/>
    <w:basedOn w:val="DefaultParagraphFont"/>
    <w:link w:val="Heading3"/>
    <w:uiPriority w:val="9"/>
    <w:rsid w:val="00603E24"/>
    <w:rPr>
      <w:rFonts w:ascii="Times New Roman" w:eastAsia="Times New Roman" w:hAnsi="Times New Roman" w:cs="Times New Roman"/>
      <w:b/>
      <w:bCs/>
      <w:sz w:val="27"/>
      <w:szCs w:val="27"/>
      <w:lang w:eastAsia="pt-PT"/>
    </w:rPr>
  </w:style>
  <w:style w:type="character" w:styleId="Hyperlink">
    <w:name w:val="Hyperlink"/>
    <w:basedOn w:val="DefaultParagraphFont"/>
    <w:uiPriority w:val="99"/>
    <w:semiHidden/>
    <w:unhideWhenUsed/>
    <w:rsid w:val="00603E24"/>
    <w:rPr>
      <w:color w:val="0000FF"/>
      <w:u w:val="single"/>
    </w:rPr>
  </w:style>
  <w:style w:type="character" w:customStyle="1" w:styleId="apple-converted-space">
    <w:name w:val="apple-converted-space"/>
    <w:basedOn w:val="DefaultParagraphFont"/>
    <w:rsid w:val="00603E24"/>
  </w:style>
  <w:style w:type="character" w:customStyle="1" w:styleId="share-urlstring">
    <w:name w:val="share-url__string"/>
    <w:basedOn w:val="DefaultParagraphFont"/>
    <w:rsid w:val="00603E24"/>
  </w:style>
  <w:style w:type="character" w:customStyle="1" w:styleId="metacomments-text">
    <w:name w:val="meta__comments-text"/>
    <w:basedOn w:val="DefaultParagraphFont"/>
    <w:rsid w:val="00603E24"/>
  </w:style>
  <w:style w:type="paragraph" w:customStyle="1" w:styleId="entrylead">
    <w:name w:val="entry__lead"/>
    <w:basedOn w:val="Normal"/>
    <w:rsid w:val="00603E24"/>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info-cardintro">
    <w:name w:val="info-card__intro"/>
    <w:basedOn w:val="Normal"/>
    <w:rsid w:val="00603E24"/>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info-cardlink">
    <w:name w:val="info-card__link"/>
    <w:basedOn w:val="Normal"/>
    <w:rsid w:val="00603E24"/>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603E2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Strong">
    <w:name w:val="Strong"/>
    <w:basedOn w:val="DefaultParagraphFont"/>
    <w:uiPriority w:val="22"/>
    <w:qFormat/>
    <w:rsid w:val="00603E24"/>
    <w:rPr>
      <w:b/>
      <w:bCs/>
    </w:rPr>
  </w:style>
  <w:style w:type="character" w:styleId="HTMLCite">
    <w:name w:val="HTML Cite"/>
    <w:basedOn w:val="DefaultParagraphFont"/>
    <w:uiPriority w:val="99"/>
    <w:semiHidden/>
    <w:unhideWhenUsed/>
    <w:rsid w:val="00603E24"/>
    <w:rPr>
      <w:i/>
      <w:iCs/>
    </w:rPr>
  </w:style>
  <w:style w:type="paragraph" w:customStyle="1" w:styleId="quote-authordescription">
    <w:name w:val="quote-author__description"/>
    <w:basedOn w:val="Normal"/>
    <w:rsid w:val="00603E24"/>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34054">
      <w:bodyDiv w:val="1"/>
      <w:marLeft w:val="0"/>
      <w:marRight w:val="0"/>
      <w:marTop w:val="0"/>
      <w:marBottom w:val="0"/>
      <w:divBdr>
        <w:top w:val="none" w:sz="0" w:space="0" w:color="auto"/>
        <w:left w:val="none" w:sz="0" w:space="0" w:color="auto"/>
        <w:bottom w:val="none" w:sz="0" w:space="0" w:color="auto"/>
        <w:right w:val="none" w:sz="0" w:space="0" w:color="auto"/>
      </w:divBdr>
      <w:divsChild>
        <w:div w:id="736169822">
          <w:marLeft w:val="0"/>
          <w:marRight w:val="0"/>
          <w:marTop w:val="0"/>
          <w:marBottom w:val="0"/>
          <w:divBdr>
            <w:top w:val="none" w:sz="0" w:space="0" w:color="auto"/>
            <w:left w:val="none" w:sz="0" w:space="0" w:color="auto"/>
            <w:bottom w:val="none" w:sz="0" w:space="0" w:color="auto"/>
            <w:right w:val="none" w:sz="0" w:space="0" w:color="auto"/>
          </w:divBdr>
          <w:divsChild>
            <w:div w:id="1842892276">
              <w:marLeft w:val="0"/>
              <w:marRight w:val="0"/>
              <w:marTop w:val="0"/>
              <w:marBottom w:val="0"/>
              <w:divBdr>
                <w:top w:val="none" w:sz="0" w:space="0" w:color="auto"/>
                <w:left w:val="none" w:sz="0" w:space="0" w:color="auto"/>
                <w:bottom w:val="none" w:sz="0" w:space="0" w:color="auto"/>
                <w:right w:val="none" w:sz="0" w:space="0" w:color="auto"/>
              </w:divBdr>
              <w:divsChild>
                <w:div w:id="1626498279">
                  <w:marLeft w:val="0"/>
                  <w:marRight w:val="0"/>
                  <w:marTop w:val="0"/>
                  <w:marBottom w:val="0"/>
                  <w:divBdr>
                    <w:top w:val="none" w:sz="0" w:space="0" w:color="auto"/>
                    <w:left w:val="none" w:sz="0" w:space="0" w:color="auto"/>
                    <w:bottom w:val="none" w:sz="0" w:space="0" w:color="auto"/>
                    <w:right w:val="none" w:sz="0" w:space="0" w:color="auto"/>
                  </w:divBdr>
                </w:div>
                <w:div w:id="953903546">
                  <w:marLeft w:val="0"/>
                  <w:marRight w:val="0"/>
                  <w:marTop w:val="0"/>
                  <w:marBottom w:val="0"/>
                  <w:divBdr>
                    <w:top w:val="none" w:sz="0" w:space="0" w:color="auto"/>
                    <w:left w:val="none" w:sz="0" w:space="0" w:color="auto"/>
                    <w:bottom w:val="none" w:sz="0" w:space="0" w:color="auto"/>
                    <w:right w:val="none" w:sz="0" w:space="0" w:color="auto"/>
                  </w:divBdr>
                </w:div>
                <w:div w:id="5924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952">
          <w:marLeft w:val="2946"/>
          <w:marRight w:val="0"/>
          <w:marTop w:val="0"/>
          <w:marBottom w:val="0"/>
          <w:divBdr>
            <w:top w:val="none" w:sz="0" w:space="0" w:color="auto"/>
            <w:left w:val="none" w:sz="0" w:space="0" w:color="auto"/>
            <w:bottom w:val="none" w:sz="0" w:space="0" w:color="auto"/>
            <w:right w:val="none" w:sz="0" w:space="0" w:color="auto"/>
          </w:divBdr>
          <w:divsChild>
            <w:div w:id="1895266894">
              <w:marLeft w:val="0"/>
              <w:marRight w:val="0"/>
              <w:marTop w:val="0"/>
              <w:marBottom w:val="0"/>
              <w:divBdr>
                <w:top w:val="none" w:sz="0" w:space="0" w:color="auto"/>
                <w:left w:val="none" w:sz="0" w:space="0" w:color="auto"/>
                <w:bottom w:val="none" w:sz="0" w:space="0" w:color="auto"/>
                <w:right w:val="none" w:sz="0" w:space="0" w:color="auto"/>
              </w:divBdr>
            </w:div>
            <w:div w:id="742221862">
              <w:blockQuote w:val="1"/>
              <w:marLeft w:val="0"/>
              <w:marRight w:val="0"/>
              <w:marTop w:val="336"/>
              <w:marBottom w:val="336"/>
              <w:divBdr>
                <w:top w:val="none" w:sz="0" w:space="0" w:color="auto"/>
                <w:left w:val="single" w:sz="12" w:space="12" w:color="00AF00"/>
                <w:bottom w:val="none" w:sz="0" w:space="0" w:color="auto"/>
                <w:right w:val="none" w:sz="0" w:space="5" w:color="auto"/>
              </w:divBdr>
              <w:divsChild>
                <w:div w:id="1048996055">
                  <w:marLeft w:val="0"/>
                  <w:marRight w:val="0"/>
                  <w:marTop w:val="92"/>
                  <w:marBottom w:val="0"/>
                  <w:divBdr>
                    <w:top w:val="none" w:sz="0" w:space="0" w:color="auto"/>
                    <w:left w:val="none" w:sz="0" w:space="0" w:color="auto"/>
                    <w:bottom w:val="none" w:sz="0" w:space="0" w:color="auto"/>
                    <w:right w:val="none" w:sz="0" w:space="0" w:color="auto"/>
                  </w:divBdr>
                </w:div>
              </w:divsChild>
            </w:div>
            <w:div w:id="1613125033">
              <w:marLeft w:val="0"/>
              <w:marRight w:val="0"/>
              <w:marTop w:val="0"/>
              <w:marBottom w:val="0"/>
              <w:divBdr>
                <w:top w:val="none" w:sz="0" w:space="0" w:color="auto"/>
                <w:left w:val="none" w:sz="0" w:space="0" w:color="auto"/>
                <w:bottom w:val="none" w:sz="0" w:space="0" w:color="auto"/>
                <w:right w:val="none" w:sz="0" w:space="0" w:color="auto"/>
              </w:divBdr>
            </w:div>
            <w:div w:id="1120338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415049">
                  <w:marLeft w:val="0"/>
                  <w:marRight w:val="0"/>
                  <w:marTop w:val="0"/>
                  <w:marBottom w:val="0"/>
                  <w:divBdr>
                    <w:top w:val="none" w:sz="0" w:space="0" w:color="auto"/>
                    <w:left w:val="none" w:sz="0" w:space="0" w:color="auto"/>
                    <w:bottom w:val="none" w:sz="0" w:space="0" w:color="auto"/>
                    <w:right w:val="none" w:sz="0" w:space="0" w:color="auto"/>
                  </w:divBdr>
                  <w:divsChild>
                    <w:div w:id="551116289">
                      <w:marLeft w:val="2946"/>
                      <w:marRight w:val="0"/>
                      <w:marTop w:val="0"/>
                      <w:marBottom w:val="0"/>
                      <w:divBdr>
                        <w:top w:val="none" w:sz="0" w:space="0" w:color="auto"/>
                        <w:left w:val="none" w:sz="0" w:space="0" w:color="auto"/>
                        <w:bottom w:val="none" w:sz="0" w:space="0" w:color="auto"/>
                        <w:right w:val="none" w:sz="0" w:space="0" w:color="auto"/>
                      </w:divBdr>
                      <w:divsChild>
                        <w:div w:id="1309166695">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 w:id="126970541">
              <w:marLeft w:val="0"/>
              <w:marRight w:val="0"/>
              <w:marTop w:val="0"/>
              <w:marBottom w:val="0"/>
              <w:divBdr>
                <w:top w:val="none" w:sz="0" w:space="0" w:color="auto"/>
                <w:left w:val="none" w:sz="0" w:space="0" w:color="auto"/>
                <w:bottom w:val="none" w:sz="0" w:space="0" w:color="auto"/>
                <w:right w:val="none" w:sz="0" w:space="0" w:color="auto"/>
              </w:divBdr>
            </w:div>
          </w:divsChild>
        </w:div>
        <w:div w:id="84958399">
          <w:marLeft w:val="0"/>
          <w:marRight w:val="0"/>
          <w:marTop w:val="0"/>
          <w:marBottom w:val="0"/>
          <w:divBdr>
            <w:top w:val="none" w:sz="0" w:space="0" w:color="auto"/>
            <w:left w:val="none" w:sz="0" w:space="0" w:color="auto"/>
            <w:bottom w:val="none" w:sz="0" w:space="0" w:color="auto"/>
            <w:right w:val="none" w:sz="0" w:space="0" w:color="auto"/>
          </w:divBdr>
          <w:divsChild>
            <w:div w:id="1118910538">
              <w:marLeft w:val="0"/>
              <w:marRight w:val="0"/>
              <w:marTop w:val="0"/>
              <w:marBottom w:val="0"/>
              <w:divBdr>
                <w:top w:val="none" w:sz="0" w:space="0" w:color="auto"/>
                <w:left w:val="none" w:sz="0" w:space="0" w:color="auto"/>
                <w:bottom w:val="none" w:sz="0" w:space="0" w:color="auto"/>
                <w:right w:val="none" w:sz="0" w:space="0" w:color="auto"/>
              </w:divBdr>
              <w:divsChild>
                <w:div w:id="1369331439">
                  <w:marLeft w:val="0"/>
                  <w:marRight w:val="0"/>
                  <w:marTop w:val="0"/>
                  <w:marBottom w:val="0"/>
                  <w:divBdr>
                    <w:top w:val="none" w:sz="0" w:space="0" w:color="auto"/>
                    <w:left w:val="none" w:sz="0" w:space="0" w:color="auto"/>
                    <w:bottom w:val="none" w:sz="0" w:space="0" w:color="auto"/>
                    <w:right w:val="none" w:sz="0" w:space="0" w:color="auto"/>
                  </w:divBdr>
                </w:div>
                <w:div w:id="1310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co.pt/2017/03/23/estado-quer-500-milhoes-com-nova-emissao-de-obrigacoes-de-retalh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pt/perfil/alberto-teixeira/" TargetMode="External"/><Relationship Id="rId11" Type="http://schemas.openxmlformats.org/officeDocument/2006/relationships/theme" Target="theme/theme1.xml"/><Relationship Id="rId5" Type="http://schemas.openxmlformats.org/officeDocument/2006/relationships/hyperlink" Target="https://eco.pt/perfil/paulo-moutinh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1071</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Banco Carregosa</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Carvalho | BancoCarregosa</dc:creator>
  <cp:keywords/>
  <dc:description/>
  <cp:lastModifiedBy>Dalila Carvalho | BancoCarregosa</cp:lastModifiedBy>
  <cp:revision>1</cp:revision>
  <dcterms:created xsi:type="dcterms:W3CDTF">2017-04-07T17:00:00Z</dcterms:created>
  <dcterms:modified xsi:type="dcterms:W3CDTF">2017-04-07T17:03:00Z</dcterms:modified>
</cp:coreProperties>
</file>