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9C" w:rsidRPr="00AE009C" w:rsidRDefault="00AE009C" w:rsidP="00AE009C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pt-PT"/>
        </w:rPr>
      </w:pPr>
      <w:r w:rsidRPr="00AE009C">
        <w:rPr>
          <w:rFonts w:ascii="Arial" w:eastAsia="Times New Roman" w:hAnsi="Arial" w:cs="Arial"/>
          <w:kern w:val="36"/>
          <w:sz w:val="48"/>
          <w:szCs w:val="48"/>
          <w:lang w:eastAsia="pt-PT"/>
        </w:rPr>
        <w:t xml:space="preserve">Costa à procura do negócio da China. </w:t>
      </w:r>
      <w:proofErr w:type="spellStart"/>
      <w:r w:rsidRPr="00AE009C">
        <w:rPr>
          <w:rFonts w:ascii="Arial" w:eastAsia="Times New Roman" w:hAnsi="Arial" w:cs="Arial"/>
          <w:kern w:val="36"/>
          <w:sz w:val="48"/>
          <w:szCs w:val="48"/>
          <w:lang w:eastAsia="pt-PT"/>
        </w:rPr>
        <w:t>Déjà</w:t>
      </w:r>
      <w:proofErr w:type="spellEnd"/>
      <w:r w:rsidRPr="00AE009C">
        <w:rPr>
          <w:rFonts w:ascii="Arial" w:eastAsia="Times New Roman" w:hAnsi="Arial" w:cs="Arial"/>
          <w:kern w:val="36"/>
          <w:sz w:val="48"/>
          <w:szCs w:val="48"/>
          <w:lang w:eastAsia="pt-PT"/>
        </w:rPr>
        <w:t xml:space="preserve"> vu?</w:t>
      </w:r>
    </w:p>
    <w:p w:rsidR="00AE009C" w:rsidRPr="00AE009C" w:rsidRDefault="00AE009C" w:rsidP="00AE00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0"/>
          <w:szCs w:val="20"/>
          <w:lang w:eastAsia="pt-PT"/>
        </w:rPr>
      </w:pPr>
      <w:hyperlink r:id="rId5" w:tooltip="Posts by Alberto Teixeira" w:history="1">
        <w:r w:rsidRPr="00AE009C">
          <w:rPr>
            <w:rFonts w:ascii="inherit" w:eastAsia="Times New Roman" w:hAnsi="inherit" w:cs="Times New Roman"/>
            <w:color w:val="0000FF"/>
            <w:sz w:val="20"/>
            <w:szCs w:val="20"/>
            <w:u w:val="single"/>
            <w:bdr w:val="none" w:sz="0" w:space="0" w:color="auto" w:frame="1"/>
            <w:lang w:eastAsia="pt-PT"/>
          </w:rPr>
          <w:t>Alberto Teixeira</w:t>
        </w:r>
      </w:hyperlink>
    </w:p>
    <w:p w:rsidR="00AE009C" w:rsidRPr="00AE009C" w:rsidRDefault="00AE009C" w:rsidP="00AE009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999D99"/>
          <w:sz w:val="20"/>
          <w:szCs w:val="20"/>
          <w:lang w:eastAsia="pt-PT"/>
        </w:rPr>
      </w:pPr>
      <w:r w:rsidRPr="00AE009C">
        <w:rPr>
          <w:rFonts w:ascii="inherit" w:eastAsia="Times New Roman" w:hAnsi="inherit" w:cs="Times New Roman"/>
          <w:color w:val="999D99"/>
          <w:sz w:val="20"/>
          <w:szCs w:val="20"/>
          <w:lang w:eastAsia="pt-PT"/>
        </w:rPr>
        <w:t>12:43</w:t>
      </w:r>
    </w:p>
    <w:p w:rsidR="00AE009C" w:rsidRPr="00AE009C" w:rsidRDefault="00AE009C" w:rsidP="00AE009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AF00"/>
          <w:sz w:val="24"/>
          <w:szCs w:val="24"/>
          <w:lang w:eastAsia="pt-PT"/>
        </w:rPr>
      </w:pPr>
      <w:r w:rsidRPr="00AE009C">
        <w:rPr>
          <w:rFonts w:ascii="Arial" w:eastAsia="Times New Roman" w:hAnsi="Arial" w:cs="Arial"/>
          <w:color w:val="00AF00"/>
          <w:sz w:val="24"/>
          <w:szCs w:val="24"/>
          <w:lang w:eastAsia="pt-PT"/>
        </w:rPr>
        <w:t>Qualquer semelhança com o passado é coincidência, mas tal como Sócrates, também Costa aponta agulhas para Oriente à procura de interessados na dívida portuguesa. O que dizem os analistas?</w:t>
      </w:r>
    </w:p>
    <w:p w:rsidR="00AE009C" w:rsidRPr="00AE009C" w:rsidRDefault="00AE009C" w:rsidP="00AE009C">
      <w:pPr>
        <w:spacing w:after="395" w:line="240" w:lineRule="auto"/>
        <w:textAlignment w:val="baseline"/>
        <w:rPr>
          <w:rFonts w:ascii="inherit" w:eastAsia="Times New Roman" w:hAnsi="inherit" w:cs="Arial"/>
          <w:color w:val="262F26"/>
          <w:sz w:val="27"/>
          <w:szCs w:val="27"/>
          <w:lang w:eastAsia="pt-PT"/>
        </w:rPr>
      </w:pPr>
      <w:r w:rsidRPr="00AE009C">
        <w:rPr>
          <w:rFonts w:ascii="inherit" w:eastAsia="Times New Roman" w:hAnsi="inherit" w:cs="Arial"/>
          <w:noProof/>
          <w:color w:val="262F26"/>
          <w:sz w:val="27"/>
          <w:szCs w:val="27"/>
          <w:lang w:eastAsia="pt-PT"/>
        </w:rPr>
        <w:drawing>
          <wp:inline distT="0" distB="0" distL="0" distR="0" wp14:anchorId="7C1C4761" wp14:editId="5F5D71F2">
            <wp:extent cx="3305175" cy="1859355"/>
            <wp:effectExtent l="0" t="0" r="0" b="7620"/>
            <wp:docPr id="1" name="Picture 1" descr="https://ecoonline.s3.amazonaws.com/uploads/2017/05/template-megamanchete-costa-socrat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online.s3.amazonaws.com/uploads/2017/05/template-megamanchete-costa-socrates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72" cy="186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9C" w:rsidRP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262F26"/>
          <w:sz w:val="27"/>
          <w:szCs w:val="27"/>
          <w:lang w:eastAsia="pt-PT"/>
        </w:rPr>
      </w:pPr>
      <w:proofErr w:type="spellStart"/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>Déjà</w:t>
      </w:r>
      <w:proofErr w:type="spellEnd"/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 xml:space="preserve"> vu</w:t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. O Governo português aponta agulhas para Oriente para vender dívida nacional, diversificar os credores da República e baixar os custos de financiamento. Os analistas aplaudem a estratégia. </w:t>
      </w:r>
      <w:r w:rsidRPr="00AE009C">
        <w:rPr>
          <w:rFonts w:ascii="inherit" w:eastAsia="Times New Roman" w:hAnsi="inherit" w:cs="Arial"/>
          <w:color w:val="262F26"/>
          <w:sz w:val="27"/>
          <w:szCs w:val="27"/>
          <w:bdr w:val="none" w:sz="0" w:space="0" w:color="auto" w:frame="1"/>
          <w:lang w:eastAsia="pt-PT"/>
        </w:rPr>
        <w:t>Estamos em 2010 com José Sócrates</w:t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… </w:t>
      </w:r>
      <w:r w:rsidRPr="00AE009C">
        <w:rPr>
          <w:rFonts w:ascii="inherit" w:eastAsia="Times New Roman" w:hAnsi="inherit" w:cs="Arial"/>
          <w:color w:val="262F26"/>
          <w:sz w:val="27"/>
          <w:szCs w:val="27"/>
          <w:bdr w:val="none" w:sz="0" w:space="0" w:color="auto" w:frame="1"/>
          <w:lang w:eastAsia="pt-PT"/>
        </w:rPr>
        <w:t>ou em 2017 com António Costa?</w:t>
      </w:r>
    </w:p>
    <w:p w:rsidR="00AE009C" w:rsidRP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262F26"/>
          <w:sz w:val="27"/>
          <w:szCs w:val="27"/>
          <w:lang w:eastAsia="pt-PT"/>
        </w:rPr>
      </w:pP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Não é uma novidade. E as memórias do passado relativamente recente foram ativadas quase de forma automática assim que, no sábado passado, </w:t>
      </w:r>
      <w:hyperlink r:id="rId7" w:history="1">
        <w:r w:rsidRPr="00AE009C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  <w:lang w:eastAsia="pt-PT"/>
          </w:rPr>
          <w:t>o ministro Mário Centeno disse estar a avaliar</w:t>
        </w:r>
        <w:r w:rsidRPr="00AE009C">
          <w:rPr>
            <w:rFonts w:ascii="inherit" w:eastAsia="Times New Roman" w:hAnsi="inherit" w:cs="Arial"/>
            <w:color w:val="0000FF"/>
            <w:sz w:val="27"/>
            <w:szCs w:val="27"/>
            <w:bdr w:val="none" w:sz="0" w:space="0" w:color="auto" w:frame="1"/>
            <w:lang w:eastAsia="pt-PT"/>
          </w:rPr>
          <w:t> emissões em moeda chinesa</w:t>
        </w:r>
      </w:hyperlink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 e, dois dias depois, </w:t>
      </w:r>
      <w:hyperlink r:id="rId8" w:history="1">
        <w:r w:rsidRPr="00AE009C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  <w:lang w:eastAsia="pt-PT"/>
          </w:rPr>
          <w:t>o primeiro ministro chegou a Doha, no Qatar, para convencer</w:t>
        </w:r>
        <w:r w:rsidRPr="00AE009C">
          <w:rPr>
            <w:rFonts w:ascii="inherit" w:eastAsia="Times New Roman" w:hAnsi="inherit" w:cs="Arial"/>
            <w:color w:val="0000FF"/>
            <w:sz w:val="27"/>
            <w:szCs w:val="27"/>
            <w:bdr w:val="none" w:sz="0" w:space="0" w:color="auto" w:frame="1"/>
            <w:lang w:eastAsia="pt-PT"/>
          </w:rPr>
          <w:t> investidores árabes a comprar dívida portuguesa</w:t>
        </w:r>
      </w:hyperlink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.</w:t>
      </w:r>
    </w:p>
    <w:p w:rsidR="00AE009C" w:rsidRPr="00AE009C" w:rsidRDefault="00AE009C" w:rsidP="00AE009C">
      <w:pPr>
        <w:spacing w:after="0" w:line="240" w:lineRule="auto"/>
        <w:textAlignment w:val="baseline"/>
        <w:rPr>
          <w:rFonts w:ascii="Arial" w:eastAsia="Times New Roman" w:hAnsi="Arial" w:cs="Arial"/>
          <w:color w:val="262F26"/>
          <w:sz w:val="24"/>
          <w:szCs w:val="24"/>
          <w:lang w:eastAsia="pt-PT"/>
        </w:rPr>
      </w:pPr>
    </w:p>
    <w:p w:rsidR="00AE009C" w:rsidRP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262F26"/>
          <w:sz w:val="27"/>
          <w:szCs w:val="27"/>
          <w:lang w:eastAsia="pt-PT"/>
        </w:rPr>
      </w:pP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Há uns anos, José Sócrates adotou a </w:t>
      </w:r>
      <w:r w:rsidRPr="00AE009C">
        <w:rPr>
          <w:rFonts w:ascii="inherit" w:eastAsia="Times New Roman" w:hAnsi="inherit" w:cs="Arial"/>
          <w:color w:val="262F26"/>
          <w:sz w:val="27"/>
          <w:szCs w:val="27"/>
          <w:bdr w:val="none" w:sz="0" w:space="0" w:color="auto" w:frame="1"/>
          <w:lang w:eastAsia="pt-PT"/>
        </w:rPr>
        <w:t>mesma estratégia de alargar a geografia</w:t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 de quem nos empresta dinheiro. Poucos meses antes de pedir ajuda internacional, conseguiu financiamento chinês através de leilões de obrigações e através de vendas diretas de dívida ao abrigo do programa </w:t>
      </w:r>
      <w:proofErr w:type="spellStart"/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>medium</w:t>
      </w:r>
      <w:proofErr w:type="spellEnd"/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 xml:space="preserve"> </w:t>
      </w:r>
      <w:proofErr w:type="spellStart"/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>term</w:t>
      </w:r>
      <w:proofErr w:type="spellEnd"/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 xml:space="preserve"> notes</w:t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 (títulos de médio prazo). Mas antes disso, o antigo primeiro-ministro já tinha viajado até à Líbia, na altura liderada por Kadhafi, para persuadir aquele país rico em petróleo a ser credor do país.</w:t>
      </w:r>
    </w:p>
    <w:p w:rsid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262F26"/>
          <w:sz w:val="27"/>
          <w:szCs w:val="27"/>
          <w:lang w:eastAsia="pt-PT"/>
        </w:rPr>
      </w:pPr>
    </w:p>
    <w:p w:rsidR="00AE009C" w:rsidRP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262F26"/>
          <w:sz w:val="27"/>
          <w:szCs w:val="27"/>
          <w:lang w:eastAsia="pt-PT"/>
        </w:rPr>
      </w:pP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 xml:space="preserve">Qualquer semelhança com o passado não deixa de ser coincidência. Numa altura em que os juros instáveis sinalizam que o melhor momento do país em termos económicos pode não ser suficiente para segurar a confiança dos investidores, António Costa tenta “descentralizar” o perfil dos credores da dívida tentando captar o interesse árabe e chinês. Para os analistas, é uma </w:t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lastRenderedPageBreak/>
        <w:t>abordagem que faz sentido sobretudo depois de grandes fundos internacionais como </w:t>
      </w:r>
      <w:proofErr w:type="spellStart"/>
      <w:r w:rsidRPr="00AE009C">
        <w:rPr>
          <w:rFonts w:ascii="inherit" w:eastAsia="Times New Roman" w:hAnsi="inherit" w:cs="Arial"/>
          <w:color w:val="262F26"/>
          <w:sz w:val="27"/>
          <w:szCs w:val="27"/>
          <w:bdr w:val="none" w:sz="0" w:space="0" w:color="auto" w:frame="1"/>
          <w:lang w:eastAsia="pt-PT"/>
        </w:rPr>
        <w:t>Pimco</w:t>
      </w:r>
      <w:proofErr w:type="spellEnd"/>
      <w:r w:rsidRPr="00AE009C">
        <w:rPr>
          <w:rFonts w:ascii="inherit" w:eastAsia="Times New Roman" w:hAnsi="inherit" w:cs="Arial"/>
          <w:color w:val="262F26"/>
          <w:sz w:val="27"/>
          <w:szCs w:val="27"/>
          <w:bdr w:val="none" w:sz="0" w:space="0" w:color="auto" w:frame="1"/>
          <w:lang w:eastAsia="pt-PT"/>
        </w:rPr>
        <w:t xml:space="preserve"> e </w:t>
      </w:r>
      <w:proofErr w:type="spellStart"/>
      <w:r w:rsidRPr="00AE009C">
        <w:rPr>
          <w:rFonts w:ascii="inherit" w:eastAsia="Times New Roman" w:hAnsi="inherit" w:cs="Arial"/>
          <w:color w:val="262F26"/>
          <w:sz w:val="27"/>
          <w:szCs w:val="27"/>
          <w:bdr w:val="none" w:sz="0" w:space="0" w:color="auto" w:frame="1"/>
          <w:lang w:eastAsia="pt-PT"/>
        </w:rPr>
        <w:t>BlackRock</w:t>
      </w:r>
      <w:proofErr w:type="spellEnd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 terem virado as costas ao país (ver gráfico do peso geográfico nas emissões sindicadas) e </w:t>
      </w:r>
      <w:hyperlink r:id="rId9" w:history="1">
        <w:r w:rsidRPr="00AE009C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  <w:lang w:eastAsia="pt-PT"/>
          </w:rPr>
          <w:t>num momento em que as principais</w:t>
        </w:r>
        <w:r w:rsidRPr="00AE009C">
          <w:rPr>
            <w:rFonts w:ascii="inherit" w:eastAsia="Times New Roman" w:hAnsi="inherit" w:cs="Arial"/>
            <w:color w:val="0000FF"/>
            <w:sz w:val="27"/>
            <w:szCs w:val="27"/>
            <w:bdr w:val="none" w:sz="0" w:space="0" w:color="auto" w:frame="1"/>
            <w:lang w:eastAsia="pt-PT"/>
          </w:rPr>
          <w:t> agências de </w:t>
        </w:r>
        <w:r w:rsidRPr="00AE009C">
          <w:rPr>
            <w:rFonts w:ascii="inherit" w:eastAsia="Times New Roman" w:hAnsi="inherit" w:cs="Arial"/>
            <w:i/>
            <w:iCs/>
            <w:color w:val="0000FF"/>
            <w:sz w:val="27"/>
            <w:szCs w:val="27"/>
            <w:bdr w:val="none" w:sz="0" w:space="0" w:color="auto" w:frame="1"/>
            <w:lang w:eastAsia="pt-PT"/>
          </w:rPr>
          <w:t>rating</w:t>
        </w:r>
        <w:r w:rsidRPr="00AE009C">
          <w:rPr>
            <w:rFonts w:ascii="inherit" w:eastAsia="Times New Roman" w:hAnsi="inherit" w:cs="Arial"/>
            <w:color w:val="0000FF"/>
            <w:sz w:val="27"/>
            <w:szCs w:val="27"/>
            <w:bdr w:val="none" w:sz="0" w:space="0" w:color="auto" w:frame="1"/>
            <w:lang w:eastAsia="pt-PT"/>
          </w:rPr>
          <w:t> </w:t>
        </w:r>
        <w:r w:rsidRPr="00AE009C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  <w:lang w:eastAsia="pt-PT"/>
          </w:rPr>
          <w:t>mantêm Portugal com o grau de investimento considerado especulativo</w:t>
        </w:r>
      </w:hyperlink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.</w:t>
      </w:r>
    </w:p>
    <w:p w:rsid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1A231A"/>
          <w:sz w:val="21"/>
          <w:szCs w:val="21"/>
          <w:bdr w:val="none" w:sz="0" w:space="0" w:color="auto" w:frame="1"/>
          <w:lang w:eastAsia="pt-PT"/>
        </w:rPr>
      </w:pPr>
      <w:r w:rsidRPr="00AE009C">
        <w:rPr>
          <w:rFonts w:ascii="Arial" w:eastAsia="Times New Roman" w:hAnsi="Arial" w:cs="Arial"/>
          <w:noProof/>
          <w:color w:val="262F26"/>
          <w:sz w:val="24"/>
          <w:szCs w:val="24"/>
          <w:lang w:eastAsia="pt-PT"/>
        </w:rPr>
        <w:drawing>
          <wp:inline distT="0" distB="0" distL="0" distR="0" wp14:anchorId="7739C7CB" wp14:editId="68435043">
            <wp:extent cx="5123234" cy="2515811"/>
            <wp:effectExtent l="0" t="0" r="1270" b="0"/>
            <wp:docPr id="14" name="Picture 14" descr="https://ecoonline.s3.amazonaws.com/uploads/2017/05/divida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coonline.s3.amazonaws.com/uploads/2017/05/divida-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69" cy="252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09C">
        <w:rPr>
          <w:rFonts w:ascii="inherit" w:eastAsia="Times New Roman" w:hAnsi="inherit" w:cs="Arial"/>
          <w:color w:val="1A231A"/>
          <w:sz w:val="21"/>
          <w:szCs w:val="21"/>
          <w:bdr w:val="none" w:sz="0" w:space="0" w:color="auto" w:frame="1"/>
          <w:lang w:eastAsia="pt-PT"/>
        </w:rPr>
        <w:t>Fonte: IGCP (valores em %)</w:t>
      </w:r>
    </w:p>
    <w:p w:rsidR="00AE009C" w:rsidRPr="00AE009C" w:rsidRDefault="00AE009C" w:rsidP="00AE009C">
      <w:pPr>
        <w:spacing w:after="0" w:line="240" w:lineRule="auto"/>
        <w:textAlignment w:val="baseline"/>
        <w:rPr>
          <w:rFonts w:ascii="Arial" w:eastAsia="Times New Roman" w:hAnsi="Arial" w:cs="Arial"/>
          <w:color w:val="262F26"/>
          <w:sz w:val="24"/>
          <w:szCs w:val="24"/>
          <w:lang w:eastAsia="pt-PT"/>
        </w:rPr>
      </w:pPr>
    </w:p>
    <w:p w:rsid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262F26"/>
          <w:sz w:val="27"/>
          <w:szCs w:val="27"/>
          <w:lang w:eastAsia="pt-PT"/>
        </w:rPr>
      </w:pP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“Quanto mais diversificada e menos concentrada estiver a detenção da dívida portuguesa, melhor. </w:t>
      </w:r>
      <w:r w:rsidRPr="00AE009C">
        <w:rPr>
          <w:rFonts w:ascii="inherit" w:eastAsia="Times New Roman" w:hAnsi="inherit" w:cs="Arial"/>
          <w:color w:val="262F26"/>
          <w:sz w:val="27"/>
          <w:szCs w:val="27"/>
          <w:bdr w:val="none" w:sz="0" w:space="0" w:color="auto" w:frame="1"/>
          <w:lang w:eastAsia="pt-PT"/>
        </w:rPr>
        <w:t>Não é boa ideia ter poucos investidores a deter dívida de um país</w:t>
      </w:r>
      <w:r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, porque isso lhes dá um</w:t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 xml:space="preserve"> grande poder de influência nas taxas de juro”, salienta Filipe Silva, gestor de ativos do Banco Carregosa.</w:t>
      </w:r>
    </w:p>
    <w:p w:rsidR="00AE009C" w:rsidRP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262F26"/>
          <w:sz w:val="27"/>
          <w:szCs w:val="27"/>
          <w:lang w:eastAsia="pt-PT"/>
        </w:rPr>
      </w:pPr>
    </w:p>
    <w:p w:rsidR="00AE009C" w:rsidRP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00AF00"/>
          <w:sz w:val="28"/>
          <w:szCs w:val="28"/>
          <w:lang w:eastAsia="pt-PT"/>
        </w:rPr>
      </w:pPr>
      <w:r w:rsidRPr="00AE009C">
        <w:rPr>
          <w:rFonts w:ascii="inherit" w:eastAsia="Times New Roman" w:hAnsi="inherit" w:cs="Arial"/>
          <w:color w:val="00AF00"/>
          <w:sz w:val="28"/>
          <w:szCs w:val="28"/>
          <w:lang w:eastAsia="pt-PT"/>
        </w:rPr>
        <w:t xml:space="preserve">"Quanto mais diversificada e menos concentrada estiver a detenção da dívida portuguesa, melhor. Não é boa ideia ter poucos investidores a deter dívida de </w:t>
      </w:r>
      <w:r>
        <w:rPr>
          <w:rFonts w:ascii="inherit" w:eastAsia="Times New Roman" w:hAnsi="inherit" w:cs="Arial"/>
          <w:color w:val="00AF00"/>
          <w:sz w:val="28"/>
          <w:szCs w:val="28"/>
          <w:lang w:eastAsia="pt-PT"/>
        </w:rPr>
        <w:t>um país, porque isso lhes dá um</w:t>
      </w:r>
      <w:r w:rsidRPr="00AE009C">
        <w:rPr>
          <w:rFonts w:ascii="inherit" w:eastAsia="Times New Roman" w:hAnsi="inherit" w:cs="Arial"/>
          <w:color w:val="00AF00"/>
          <w:sz w:val="28"/>
          <w:szCs w:val="28"/>
          <w:lang w:eastAsia="pt-PT"/>
        </w:rPr>
        <w:t xml:space="preserve"> grande poder de influência nas taxas de juro.”</w:t>
      </w:r>
    </w:p>
    <w:p w:rsidR="00AE009C" w:rsidRP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1A231A"/>
          <w:sz w:val="18"/>
          <w:szCs w:val="18"/>
          <w:lang w:eastAsia="pt-PT"/>
        </w:rPr>
      </w:pPr>
      <w:r w:rsidRPr="00AE009C">
        <w:rPr>
          <w:rFonts w:ascii="inherit" w:eastAsia="Times New Roman" w:hAnsi="inherit" w:cs="Arial"/>
          <w:i/>
          <w:iCs/>
          <w:color w:val="1A231A"/>
          <w:sz w:val="21"/>
          <w:szCs w:val="21"/>
          <w:bdr w:val="none" w:sz="0" w:space="0" w:color="auto" w:frame="1"/>
          <w:lang w:eastAsia="pt-PT"/>
        </w:rPr>
        <w:t>Filipe Silva</w:t>
      </w:r>
    </w:p>
    <w:p w:rsidR="00AE009C" w:rsidRPr="00AE009C" w:rsidRDefault="00AE009C" w:rsidP="00AE009C">
      <w:pPr>
        <w:spacing w:after="395" w:line="240" w:lineRule="auto"/>
        <w:textAlignment w:val="baseline"/>
        <w:rPr>
          <w:rFonts w:ascii="inherit" w:eastAsia="Times New Roman" w:hAnsi="inherit" w:cs="Arial"/>
          <w:color w:val="999D99"/>
          <w:sz w:val="21"/>
          <w:szCs w:val="21"/>
          <w:lang w:eastAsia="pt-PT"/>
        </w:rPr>
      </w:pPr>
      <w:r w:rsidRPr="00AE009C">
        <w:rPr>
          <w:rFonts w:ascii="inherit" w:eastAsia="Times New Roman" w:hAnsi="inherit" w:cs="Arial"/>
          <w:color w:val="999D99"/>
          <w:sz w:val="21"/>
          <w:szCs w:val="21"/>
          <w:lang w:eastAsia="pt-PT"/>
        </w:rPr>
        <w:t>Gestor de ativos do Banco Carregosa</w:t>
      </w:r>
    </w:p>
    <w:p w:rsidR="00AE009C" w:rsidRP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262F26"/>
          <w:sz w:val="27"/>
          <w:szCs w:val="27"/>
          <w:lang w:eastAsia="pt-PT"/>
        </w:rPr>
      </w:pP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 xml:space="preserve">David </w:t>
      </w:r>
      <w:proofErr w:type="spellStart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Schnautz</w:t>
      </w:r>
      <w:proofErr w:type="spellEnd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 xml:space="preserve">, do </w:t>
      </w:r>
      <w:proofErr w:type="spellStart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Commerzbank</w:t>
      </w:r>
      <w:proofErr w:type="spellEnd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, sublinha as atuais limitações que o </w:t>
      </w:r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>rating</w:t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 da República impõe na captação de novos investidores. “Encontrar formas de alargar a base de investidores é importante. </w:t>
      </w:r>
      <w:r w:rsidRPr="00AE009C">
        <w:rPr>
          <w:rFonts w:ascii="inherit" w:eastAsia="Times New Roman" w:hAnsi="inherit" w:cs="Arial"/>
          <w:color w:val="262F26"/>
          <w:sz w:val="27"/>
          <w:szCs w:val="27"/>
          <w:bdr w:val="none" w:sz="0" w:space="0" w:color="auto" w:frame="1"/>
          <w:lang w:eastAsia="pt-PT"/>
        </w:rPr>
        <w:t>Portugal vai continuar ativo em termos de emissões de dívida</w:t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 nos próximos tempos e os</w:t>
      </w:r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> ratings </w:t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poderão continuar em baixa durante algum tempo”, diz o responsável.</w:t>
      </w:r>
    </w:p>
    <w:p w:rsidR="00AE009C" w:rsidRPr="00AE009C" w:rsidRDefault="00AE009C" w:rsidP="00AE009C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AF00"/>
          <w:sz w:val="36"/>
          <w:szCs w:val="36"/>
          <w:lang w:eastAsia="pt-PT"/>
        </w:rPr>
      </w:pPr>
      <w:r w:rsidRPr="00AE009C">
        <w:rPr>
          <w:rFonts w:ascii="Arial" w:eastAsia="Times New Roman" w:hAnsi="Arial" w:cs="Arial"/>
          <w:b/>
          <w:bCs/>
          <w:color w:val="00AF00"/>
          <w:sz w:val="36"/>
          <w:szCs w:val="36"/>
          <w:lang w:eastAsia="pt-PT"/>
        </w:rPr>
        <w:t>Negócio da China</w:t>
      </w:r>
    </w:p>
    <w:p w:rsidR="00AE009C" w:rsidRP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262F26"/>
          <w:sz w:val="27"/>
          <w:szCs w:val="27"/>
          <w:lang w:eastAsia="pt-PT"/>
        </w:rPr>
      </w:pP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Emitir dívida em moeda estrangeira também não será propriamente uma estreia. </w:t>
      </w:r>
      <w:proofErr w:type="spellStart"/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>Déjà</w:t>
      </w:r>
      <w:proofErr w:type="spellEnd"/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 xml:space="preserve"> vu </w:t>
      </w:r>
      <w:proofErr w:type="spellStart"/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>all</w:t>
      </w:r>
      <w:proofErr w:type="spellEnd"/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 xml:space="preserve"> </w:t>
      </w:r>
      <w:proofErr w:type="spellStart"/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>over</w:t>
      </w:r>
      <w:proofErr w:type="spellEnd"/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 xml:space="preserve"> </w:t>
      </w:r>
      <w:proofErr w:type="spellStart"/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>again</w:t>
      </w:r>
      <w:proofErr w:type="spellEnd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. Em março, existia um saldo de dívida do Estado superior a 4.000 milhões de euros correspondentes a </w:t>
      </w:r>
      <w:proofErr w:type="spellStart"/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>medium</w:t>
      </w:r>
      <w:proofErr w:type="spellEnd"/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 xml:space="preserve"> </w:t>
      </w:r>
      <w:proofErr w:type="spellStart"/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>term</w:t>
      </w:r>
      <w:proofErr w:type="spellEnd"/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 xml:space="preserve"> notes</w:t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 xml:space="preserve"> denominadas noutra moeda que não a do bloco único. E nos cálculos </w:t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lastRenderedPageBreak/>
        <w:t>dos custos do empréstimo do</w:t>
      </w:r>
      <w:r w:rsidRPr="00AE009C">
        <w:rPr>
          <w:rFonts w:ascii="inherit" w:eastAsia="Times New Roman" w:hAnsi="inherit" w:cs="Arial"/>
          <w:color w:val="262F26"/>
          <w:sz w:val="27"/>
          <w:szCs w:val="27"/>
          <w:bdr w:val="none" w:sz="0" w:space="0" w:color="auto" w:frame="1"/>
          <w:lang w:eastAsia="pt-PT"/>
        </w:rPr>
        <w:t> Fundo Monetário Internacional</w:t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 (FMI), contraído no resgate da troika em 2011, estão contabilizados um cabaz de moedas que passou a incluir recentemente o yuan chinês. Ou seja, a exposição ao risco cambial já existe.</w:t>
      </w:r>
    </w:p>
    <w:p w:rsidR="00AE009C" w:rsidRPr="00AE009C" w:rsidRDefault="00AE009C" w:rsidP="00AE0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pt-PT"/>
        </w:rPr>
      </w:pPr>
      <w:r w:rsidRPr="00AE009C">
        <w:rPr>
          <w:rFonts w:ascii="Arial" w:eastAsia="Times New Roman" w:hAnsi="Arial" w:cs="Arial"/>
          <w:color w:val="262F26"/>
          <w:sz w:val="24"/>
          <w:szCs w:val="24"/>
          <w:lang w:eastAsia="pt-PT"/>
        </w:rPr>
        <w:fldChar w:fldCharType="begin"/>
      </w:r>
      <w:r w:rsidRPr="00AE009C">
        <w:rPr>
          <w:rFonts w:ascii="Arial" w:eastAsia="Times New Roman" w:hAnsi="Arial" w:cs="Arial"/>
          <w:color w:val="262F26"/>
          <w:sz w:val="24"/>
          <w:szCs w:val="24"/>
          <w:lang w:eastAsia="pt-PT"/>
        </w:rPr>
        <w:instrText xml:space="preserve"> HYPERLINK "https://eco.pt/2017/05/08/costa-quer-atrair-arabes-para-comprar-de-divida-portuguesa/" </w:instrText>
      </w:r>
      <w:r w:rsidRPr="00AE009C">
        <w:rPr>
          <w:rFonts w:ascii="Arial" w:eastAsia="Times New Roman" w:hAnsi="Arial" w:cs="Arial"/>
          <w:color w:val="262F26"/>
          <w:sz w:val="24"/>
          <w:szCs w:val="24"/>
          <w:lang w:eastAsia="pt-PT"/>
        </w:rPr>
        <w:fldChar w:fldCharType="separate"/>
      </w:r>
    </w:p>
    <w:p w:rsidR="00AE009C" w:rsidRP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262F26"/>
          <w:sz w:val="27"/>
          <w:szCs w:val="27"/>
          <w:lang w:eastAsia="pt-PT"/>
        </w:rPr>
      </w:pPr>
      <w:r w:rsidRPr="00AE009C">
        <w:rPr>
          <w:rFonts w:ascii="Arial" w:eastAsia="Times New Roman" w:hAnsi="Arial" w:cs="Arial"/>
          <w:color w:val="262F26"/>
          <w:sz w:val="24"/>
          <w:szCs w:val="24"/>
          <w:lang w:eastAsia="pt-PT"/>
        </w:rPr>
        <w:fldChar w:fldCharType="end"/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Ainda assim, os analistas apontam</w:t>
      </w:r>
      <w:r w:rsidRPr="00AE009C">
        <w:rPr>
          <w:rFonts w:ascii="inherit" w:eastAsia="Times New Roman" w:hAnsi="inherit" w:cs="Arial"/>
          <w:color w:val="262F26"/>
          <w:sz w:val="27"/>
          <w:szCs w:val="27"/>
          <w:bdr w:val="none" w:sz="0" w:space="0" w:color="auto" w:frame="1"/>
          <w:lang w:eastAsia="pt-PT"/>
        </w:rPr>
        <w:t> vantagens de expandir a carteira da dívida pública</w:t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 </w:t>
      </w:r>
      <w:r w:rsidRPr="00AE009C">
        <w:rPr>
          <w:rFonts w:ascii="inherit" w:eastAsia="Times New Roman" w:hAnsi="inherit" w:cs="Arial"/>
          <w:color w:val="262F26"/>
          <w:sz w:val="27"/>
          <w:szCs w:val="27"/>
          <w:bdr w:val="none" w:sz="0" w:space="0" w:color="auto" w:frame="1"/>
          <w:lang w:eastAsia="pt-PT"/>
        </w:rPr>
        <w:t>para outras latitudes cambiais</w:t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.</w:t>
      </w:r>
    </w:p>
    <w:p w:rsidR="00AE009C" w:rsidRP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262F26"/>
          <w:sz w:val="27"/>
          <w:szCs w:val="27"/>
          <w:lang w:eastAsia="pt-PT"/>
        </w:rPr>
      </w:pP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Além de permitir uma potencial </w:t>
      </w:r>
      <w:r w:rsidRPr="00AE009C">
        <w:rPr>
          <w:rFonts w:ascii="inherit" w:eastAsia="Times New Roman" w:hAnsi="inherit" w:cs="Arial"/>
          <w:color w:val="262F26"/>
          <w:sz w:val="27"/>
          <w:szCs w:val="27"/>
          <w:bdr w:val="none" w:sz="0" w:space="0" w:color="auto" w:frame="1"/>
          <w:lang w:eastAsia="pt-PT"/>
        </w:rPr>
        <w:t>redução dos custos de financiamento</w:t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 xml:space="preserve">, por via de menor pressão no mercado com um leque mais diversificado de investidores, Alberto </w:t>
      </w:r>
      <w:proofErr w:type="spellStart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Gallo</w:t>
      </w:r>
      <w:proofErr w:type="spellEnd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 xml:space="preserve">, chefe de estratégia macro da </w:t>
      </w:r>
      <w:proofErr w:type="spellStart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Algebris</w:t>
      </w:r>
      <w:proofErr w:type="spellEnd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, nota que emitindo obrigações na moeda chinesa, “Portugal fica mais próximo dos investidores chineses, num país onde há muitas poupanças”.</w:t>
      </w:r>
    </w:p>
    <w:p w:rsid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262F26"/>
          <w:sz w:val="27"/>
          <w:szCs w:val="27"/>
          <w:lang w:eastAsia="pt-PT"/>
        </w:rPr>
      </w:pP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E numa altura em que os investidores são forçados a comprar ativos em dólares, a principal divisa mundial, há atualmente maior apetite por ativos denominados noutras moedas porque “os ativos em dólares não oferecem muito valor neste momento”. “Os investidores não querem apenas comprar </w:t>
      </w:r>
      <w:proofErr w:type="spellStart"/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>Treasuries</w:t>
      </w:r>
      <w:proofErr w:type="spellEnd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 que oferecem pouco e de um país onde o presidente quer aumentar o défice. Por isso será um</w:t>
      </w:r>
      <w:r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a</w:t>
      </w:r>
      <w:bookmarkStart w:id="0" w:name="_GoBack"/>
      <w:bookmarkEnd w:id="0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 xml:space="preserve"> boa ideia abrir linhas no mercado e não apenas em euros”, conclui </w:t>
      </w:r>
      <w:proofErr w:type="spellStart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Gallo</w:t>
      </w:r>
      <w:proofErr w:type="spellEnd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.</w:t>
      </w:r>
    </w:p>
    <w:p w:rsidR="00AE009C" w:rsidRP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262F26"/>
          <w:sz w:val="27"/>
          <w:szCs w:val="27"/>
          <w:lang w:eastAsia="pt-PT"/>
        </w:rPr>
      </w:pPr>
    </w:p>
    <w:p w:rsidR="00AE009C" w:rsidRP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00AF00"/>
          <w:sz w:val="28"/>
          <w:szCs w:val="28"/>
          <w:lang w:eastAsia="pt-PT"/>
        </w:rPr>
      </w:pPr>
      <w:r w:rsidRPr="00AE009C">
        <w:rPr>
          <w:rFonts w:ascii="inherit" w:eastAsia="Times New Roman" w:hAnsi="inherit" w:cs="Arial"/>
          <w:color w:val="00AF00"/>
          <w:sz w:val="28"/>
          <w:szCs w:val="28"/>
          <w:lang w:eastAsia="pt-PT"/>
        </w:rPr>
        <w:t xml:space="preserve">"Em termos globais, há maior confiança da parte dos investidores depois da vitória </w:t>
      </w:r>
      <w:proofErr w:type="spellStart"/>
      <w:r w:rsidRPr="00AE009C">
        <w:rPr>
          <w:rFonts w:ascii="inherit" w:eastAsia="Times New Roman" w:hAnsi="inherit" w:cs="Arial"/>
          <w:color w:val="00AF00"/>
          <w:sz w:val="28"/>
          <w:szCs w:val="28"/>
          <w:lang w:eastAsia="pt-PT"/>
        </w:rPr>
        <w:t>Macron</w:t>
      </w:r>
      <w:proofErr w:type="spellEnd"/>
      <w:r w:rsidRPr="00AE009C">
        <w:rPr>
          <w:rFonts w:ascii="inherit" w:eastAsia="Times New Roman" w:hAnsi="inherit" w:cs="Arial"/>
          <w:color w:val="00AF00"/>
          <w:sz w:val="28"/>
          <w:szCs w:val="28"/>
          <w:lang w:eastAsia="pt-PT"/>
        </w:rPr>
        <w:t>. Porém, em relação a Portugal, há fatores mais específicos. Os investidores estão mais preocupados com o sistema financeira e com as condições das finanças públicas.”</w:t>
      </w:r>
    </w:p>
    <w:p w:rsidR="00AE009C" w:rsidRP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1A231A"/>
          <w:sz w:val="18"/>
          <w:szCs w:val="18"/>
          <w:lang w:eastAsia="pt-PT"/>
        </w:rPr>
      </w:pPr>
      <w:r w:rsidRPr="00AE009C">
        <w:rPr>
          <w:rFonts w:ascii="inherit" w:eastAsia="Times New Roman" w:hAnsi="inherit" w:cs="Arial"/>
          <w:i/>
          <w:iCs/>
          <w:color w:val="1A231A"/>
          <w:sz w:val="21"/>
          <w:szCs w:val="21"/>
          <w:bdr w:val="none" w:sz="0" w:space="0" w:color="auto" w:frame="1"/>
          <w:lang w:eastAsia="pt-PT"/>
        </w:rPr>
        <w:t xml:space="preserve">Alberto </w:t>
      </w:r>
      <w:proofErr w:type="spellStart"/>
      <w:r w:rsidRPr="00AE009C">
        <w:rPr>
          <w:rFonts w:ascii="inherit" w:eastAsia="Times New Roman" w:hAnsi="inherit" w:cs="Arial"/>
          <w:i/>
          <w:iCs/>
          <w:color w:val="1A231A"/>
          <w:sz w:val="21"/>
          <w:szCs w:val="21"/>
          <w:bdr w:val="none" w:sz="0" w:space="0" w:color="auto" w:frame="1"/>
          <w:lang w:eastAsia="pt-PT"/>
        </w:rPr>
        <w:t>Gallo</w:t>
      </w:r>
      <w:proofErr w:type="spellEnd"/>
    </w:p>
    <w:p w:rsidR="00AE009C" w:rsidRPr="00AE009C" w:rsidRDefault="00AE009C" w:rsidP="00AE009C">
      <w:pPr>
        <w:spacing w:after="395" w:line="240" w:lineRule="auto"/>
        <w:textAlignment w:val="baseline"/>
        <w:rPr>
          <w:rFonts w:ascii="inherit" w:eastAsia="Times New Roman" w:hAnsi="inherit" w:cs="Arial"/>
          <w:color w:val="999D99"/>
          <w:sz w:val="21"/>
          <w:szCs w:val="21"/>
          <w:lang w:eastAsia="pt-PT"/>
        </w:rPr>
      </w:pPr>
      <w:r w:rsidRPr="00AE009C">
        <w:rPr>
          <w:rFonts w:ascii="inherit" w:eastAsia="Times New Roman" w:hAnsi="inherit" w:cs="Arial"/>
          <w:color w:val="999D99"/>
          <w:sz w:val="21"/>
          <w:szCs w:val="21"/>
          <w:lang w:eastAsia="pt-PT"/>
        </w:rPr>
        <w:t xml:space="preserve">Chefe de estratégia macro da </w:t>
      </w:r>
      <w:proofErr w:type="spellStart"/>
      <w:r w:rsidRPr="00AE009C">
        <w:rPr>
          <w:rFonts w:ascii="inherit" w:eastAsia="Times New Roman" w:hAnsi="inherit" w:cs="Arial"/>
          <w:color w:val="999D99"/>
          <w:sz w:val="21"/>
          <w:szCs w:val="21"/>
          <w:lang w:eastAsia="pt-PT"/>
        </w:rPr>
        <w:t>Algebris</w:t>
      </w:r>
      <w:proofErr w:type="spellEnd"/>
    </w:p>
    <w:p w:rsidR="00AE009C" w:rsidRP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262F26"/>
          <w:sz w:val="27"/>
          <w:szCs w:val="27"/>
          <w:lang w:eastAsia="pt-PT"/>
        </w:rPr>
      </w:pPr>
      <w:proofErr w:type="spellStart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Schnautz</w:t>
      </w:r>
      <w:proofErr w:type="spellEnd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 xml:space="preserve"> alega que a abordagem pode trazer dissabores na medida em que tenderá a </w:t>
      </w:r>
      <w:r w:rsidRPr="00AE009C">
        <w:rPr>
          <w:rFonts w:ascii="inherit" w:eastAsia="Times New Roman" w:hAnsi="inherit" w:cs="Arial"/>
          <w:color w:val="262F26"/>
          <w:sz w:val="27"/>
          <w:szCs w:val="27"/>
          <w:bdr w:val="none" w:sz="0" w:space="0" w:color="auto" w:frame="1"/>
          <w:lang w:eastAsia="pt-PT"/>
        </w:rPr>
        <w:t>retirar alguma liquidez no mercado de obrigações normal.</w:t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 “Mas tendo em conta o </w:t>
      </w:r>
      <w:r w:rsidRPr="00AE009C">
        <w:rPr>
          <w:rFonts w:ascii="inherit" w:eastAsia="Times New Roman" w:hAnsi="inherit" w:cs="Arial"/>
          <w:i/>
          <w:iCs/>
          <w:color w:val="262F26"/>
          <w:sz w:val="27"/>
          <w:szCs w:val="27"/>
          <w:bdr w:val="none" w:sz="0" w:space="0" w:color="auto" w:frame="1"/>
          <w:lang w:eastAsia="pt-PT"/>
        </w:rPr>
        <w:t>rating </w:t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de Portugal, o foco é claramente obter o dinheiro não importa como”, frisa este responsável.</w:t>
      </w:r>
    </w:p>
    <w:p w:rsidR="00AE009C" w:rsidRPr="00AE009C" w:rsidRDefault="00AE009C" w:rsidP="00AE009C">
      <w:pPr>
        <w:spacing w:after="0" w:line="240" w:lineRule="auto"/>
        <w:textAlignment w:val="baseline"/>
        <w:rPr>
          <w:rFonts w:ascii="inherit" w:eastAsia="Times New Roman" w:hAnsi="inherit" w:cs="Arial"/>
          <w:color w:val="262F26"/>
          <w:sz w:val="27"/>
          <w:szCs w:val="27"/>
          <w:lang w:eastAsia="pt-PT"/>
        </w:rPr>
      </w:pPr>
      <w:proofErr w:type="spellStart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Gallo</w:t>
      </w:r>
      <w:proofErr w:type="spellEnd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 xml:space="preserve"> deixa uma ideia mais forte quanto à estratégia que deve ser adotada na gestão da dívida: “</w:t>
      </w:r>
      <w:r w:rsidRPr="00AE009C">
        <w:rPr>
          <w:rFonts w:ascii="inherit" w:eastAsia="Times New Roman" w:hAnsi="inherit" w:cs="Arial"/>
          <w:color w:val="262F26"/>
          <w:sz w:val="27"/>
          <w:szCs w:val="27"/>
          <w:bdr w:val="none" w:sz="0" w:space="0" w:color="auto" w:frame="1"/>
          <w:lang w:eastAsia="pt-PT"/>
        </w:rPr>
        <w:t xml:space="preserve">Importará mais melhorar as perspetivas para a </w:t>
      </w:r>
      <w:proofErr w:type="gramStart"/>
      <w:r w:rsidRPr="00AE009C">
        <w:rPr>
          <w:rFonts w:ascii="inherit" w:eastAsia="Times New Roman" w:hAnsi="inherit" w:cs="Arial"/>
          <w:color w:val="262F26"/>
          <w:sz w:val="27"/>
          <w:szCs w:val="27"/>
          <w:bdr w:val="none" w:sz="0" w:space="0" w:color="auto" w:frame="1"/>
          <w:lang w:eastAsia="pt-PT"/>
        </w:rPr>
        <w:t>economia</w:t>
      </w:r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“</w:t>
      </w:r>
      <w:proofErr w:type="gramEnd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 xml:space="preserve">. “Em termos globais, há maior confiança da parte dos investidores depois da vitória </w:t>
      </w:r>
      <w:proofErr w:type="spellStart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Macron</w:t>
      </w:r>
      <w:proofErr w:type="spellEnd"/>
      <w:r w:rsidRPr="00AE009C">
        <w:rPr>
          <w:rFonts w:ascii="inherit" w:eastAsia="Times New Roman" w:hAnsi="inherit" w:cs="Arial"/>
          <w:color w:val="262F26"/>
          <w:sz w:val="27"/>
          <w:szCs w:val="27"/>
          <w:lang w:eastAsia="pt-PT"/>
        </w:rPr>
        <w:t>. Porém, em relação a Portugal, há fatores mais específicos. Os investidores estão mais preocupados com o sistema financeira e com as condições das finanças públicas”, diz o economista.</w:t>
      </w:r>
    </w:p>
    <w:p w:rsidR="00105FB9" w:rsidRDefault="00105FB9"/>
    <w:p w:rsidR="00AE009C" w:rsidRDefault="00AE009C">
      <w:hyperlink r:id="rId11" w:history="1">
        <w:r w:rsidRPr="00E53F5D">
          <w:rPr>
            <w:rStyle w:val="Hyperlink"/>
          </w:rPr>
          <w:t>https://eco.pt/2017/05/11/costa-a-procura-do-negocio-da-china-deja-vu/</w:t>
        </w:r>
      </w:hyperlink>
    </w:p>
    <w:p w:rsidR="00AE009C" w:rsidRDefault="00AE009C"/>
    <w:sectPr w:rsidR="00AE0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45E6"/>
    <w:multiLevelType w:val="multilevel"/>
    <w:tmpl w:val="BD5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B4CCB"/>
    <w:multiLevelType w:val="multilevel"/>
    <w:tmpl w:val="8206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41125"/>
    <w:multiLevelType w:val="multilevel"/>
    <w:tmpl w:val="D15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9C"/>
    <w:rsid w:val="00105FB9"/>
    <w:rsid w:val="00A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05FD"/>
  <w15:chartTrackingRefBased/>
  <w15:docId w15:val="{1251BAB2-44B8-4CA6-8D2C-9CD8A5ED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03046">
          <w:marLeft w:val="29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2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0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69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8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0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95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7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9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47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3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8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0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0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2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7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6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64283">
              <w:blockQuote w:val="1"/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single" w:sz="12" w:space="12" w:color="00AF00"/>
                <w:bottom w:val="none" w:sz="0" w:space="0" w:color="auto"/>
                <w:right w:val="none" w:sz="0" w:space="5" w:color="auto"/>
              </w:divBdr>
              <w:divsChild>
                <w:div w:id="539635789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143">
              <w:blockQuote w:val="1"/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single" w:sz="12" w:space="12" w:color="00AF00"/>
                <w:bottom w:val="none" w:sz="0" w:space="0" w:color="auto"/>
                <w:right w:val="none" w:sz="0" w:space="5" w:color="auto"/>
              </w:divBdr>
              <w:divsChild>
                <w:div w:id="200273695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.pt/2017/05/08/costa-quer-atrair-arabes-para-comprar-de-divida-portugues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o.pt/2017/05/06/portugal-prepara-se-para-emitir-divida-em-moeda-chines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co.pt/2017/05/11/costa-a-procura-do-negocio-da-china-deja-vu/" TargetMode="External"/><Relationship Id="rId5" Type="http://schemas.openxmlformats.org/officeDocument/2006/relationships/hyperlink" Target="https://eco.pt/perfil/alberto-teixeira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co.pt/2017/05/05/moodys-volta-a-nao-pronunciar-se-sobre-portugal-rating-mantem-se-em-lix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958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Carregosa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Carvalho | BancoCarregosa</dc:creator>
  <cp:keywords/>
  <dc:description/>
  <cp:lastModifiedBy>Dalila Carvalho | BancoCarregosa</cp:lastModifiedBy>
  <cp:revision>1</cp:revision>
  <dcterms:created xsi:type="dcterms:W3CDTF">2017-05-11T15:22:00Z</dcterms:created>
  <dcterms:modified xsi:type="dcterms:W3CDTF">2017-05-11T15:25:00Z</dcterms:modified>
</cp:coreProperties>
</file>